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84F3" w14:textId="56204DB3" w:rsidR="00C57A36" w:rsidRDefault="00C57A36" w:rsidP="00C57A36">
      <w:pPr>
        <w:pStyle w:val="ACNormln"/>
        <w:spacing w:before="0" w:after="60"/>
        <w:jc w:val="left"/>
        <w:outlineLvl w:val="0"/>
        <w:rPr>
          <w:rFonts w:ascii="Calibri" w:hAnsi="Calibri" w:cs="Calibri"/>
          <w:b/>
          <w:sz w:val="28"/>
          <w:szCs w:val="28"/>
        </w:rPr>
      </w:pPr>
      <w:r w:rsidRPr="00C57A36">
        <w:rPr>
          <w:rFonts w:ascii="Calibri" w:hAnsi="Calibri" w:cs="Calibri"/>
          <w:b/>
          <w:sz w:val="28"/>
          <w:szCs w:val="28"/>
        </w:rPr>
        <w:t>Příloha č. 4 zadávací</w:t>
      </w:r>
      <w:r>
        <w:rPr>
          <w:rFonts w:ascii="Calibri" w:hAnsi="Calibri" w:cs="Calibri"/>
          <w:b/>
          <w:sz w:val="28"/>
          <w:szCs w:val="28"/>
        </w:rPr>
        <w:t xml:space="preserve"> dokumentace – závazný návrh smlouvy o dílo</w:t>
      </w:r>
    </w:p>
    <w:p w14:paraId="1F809381" w14:textId="77777777" w:rsidR="00C57A36" w:rsidRPr="00C57A36" w:rsidRDefault="00C57A36" w:rsidP="00C57A36">
      <w:pPr>
        <w:pStyle w:val="ACNormln"/>
        <w:spacing w:before="0" w:after="60"/>
        <w:jc w:val="left"/>
        <w:outlineLvl w:val="0"/>
        <w:rPr>
          <w:rFonts w:ascii="Calibri" w:hAnsi="Calibri" w:cs="Calibri"/>
          <w:b/>
          <w:sz w:val="28"/>
          <w:szCs w:val="28"/>
        </w:rPr>
      </w:pPr>
    </w:p>
    <w:p w14:paraId="5BAA1B87" w14:textId="316C4655" w:rsidR="005C1633" w:rsidRPr="00C57A36" w:rsidRDefault="00B067C8" w:rsidP="009F5010">
      <w:pPr>
        <w:pStyle w:val="ACNormln"/>
        <w:spacing w:before="0" w:after="6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C57A36">
      <w:pPr>
        <w:tabs>
          <w:tab w:val="left" w:pos="2268"/>
        </w:tabs>
        <w:autoSpaceDN w:val="0"/>
        <w:spacing w:after="0" w:line="276" w:lineRule="auto"/>
        <w:rPr>
          <w:sz w:val="24"/>
        </w:rPr>
      </w:pPr>
      <w:bookmarkStart w:id="1" w:name="_Hlk138407252"/>
      <w:r w:rsidRPr="005C1633">
        <w:rPr>
          <w:b/>
          <w:sz w:val="24"/>
        </w:rPr>
        <w:t>Nemocnice Pardubického kraje, a.s.</w:t>
      </w:r>
    </w:p>
    <w:p w14:paraId="16077FFB" w14:textId="77777777" w:rsidR="005C1633" w:rsidRPr="00AD1C61" w:rsidRDefault="00401355" w:rsidP="00C57A36">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C57A36">
      <w:pPr>
        <w:tabs>
          <w:tab w:val="left" w:pos="2268"/>
        </w:tabs>
        <w:autoSpaceDN w:val="0"/>
        <w:spacing w:after="0" w:line="276" w:lineRule="auto"/>
      </w:pPr>
      <w:r w:rsidRPr="00AD1C61">
        <w:t>IČO</w:t>
      </w:r>
      <w:r>
        <w:t>:</w:t>
      </w:r>
      <w:r w:rsidRPr="00AD1C61">
        <w:t xml:space="preserve"> </w:t>
      </w:r>
      <w:r>
        <w:tab/>
      </w:r>
      <w:r w:rsidRPr="00AD1C61">
        <w:t>27520536</w:t>
      </w:r>
    </w:p>
    <w:p w14:paraId="08943BD9" w14:textId="77777777" w:rsidR="00401355" w:rsidRDefault="00401355" w:rsidP="00C57A36">
      <w:pPr>
        <w:tabs>
          <w:tab w:val="left" w:pos="2268"/>
        </w:tabs>
        <w:autoSpaceDN w:val="0"/>
        <w:spacing w:after="0" w:line="276" w:lineRule="auto"/>
      </w:pPr>
      <w:r w:rsidRPr="00AD1C61">
        <w:t>DIČ</w:t>
      </w:r>
      <w:r>
        <w:t>:</w:t>
      </w:r>
      <w:r w:rsidRPr="00AD1C61">
        <w:t xml:space="preserve"> </w:t>
      </w:r>
      <w:r w:rsidRPr="00AD1C61">
        <w:tab/>
        <w:t>CZ27520536</w:t>
      </w:r>
    </w:p>
    <w:p w14:paraId="39C8AAE8" w14:textId="7F0FDA3F" w:rsidR="005C1633" w:rsidRPr="00401355" w:rsidRDefault="005C1633" w:rsidP="00C57A36">
      <w:pPr>
        <w:tabs>
          <w:tab w:val="left" w:pos="2268"/>
        </w:tabs>
        <w:autoSpaceDN w:val="0"/>
        <w:spacing w:after="0" w:line="276"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74BB09E5" w14:textId="665283F3" w:rsidR="00DA405F" w:rsidRPr="009B07A9" w:rsidRDefault="00DA405F" w:rsidP="00C57A36">
      <w:pPr>
        <w:tabs>
          <w:tab w:val="left" w:pos="2268"/>
        </w:tabs>
        <w:autoSpaceDN w:val="0"/>
        <w:spacing w:after="0" w:line="276" w:lineRule="auto"/>
      </w:pPr>
      <w:bookmarkStart w:id="2" w:name="_Hlk207181747"/>
      <w:r w:rsidRPr="009B07A9">
        <w:t xml:space="preserve">  </w:t>
      </w:r>
      <w:r w:rsidRPr="009B07A9">
        <w:tab/>
      </w:r>
      <w:r w:rsidR="00E45767">
        <w:t>Ing. Petr</w:t>
      </w:r>
      <w:r w:rsidR="00746433">
        <w:t>em</w:t>
      </w:r>
      <w:r w:rsidR="00E45767">
        <w:t xml:space="preserve"> Vrb</w:t>
      </w:r>
      <w:r w:rsidR="00746433">
        <w:t>ou</w:t>
      </w:r>
      <w:r w:rsidR="00E45767">
        <w:t>, místopředsed</w:t>
      </w:r>
      <w:r w:rsidR="00746433">
        <w:t>ou</w:t>
      </w:r>
      <w:r w:rsidR="00E45767">
        <w:t xml:space="preserve"> </w:t>
      </w:r>
      <w:r w:rsidRPr="009B07A9">
        <w:t>představenstva</w:t>
      </w:r>
    </w:p>
    <w:bookmarkEnd w:id="2"/>
    <w:p w14:paraId="640A17A7" w14:textId="2A270DFC" w:rsidR="005C1633" w:rsidRDefault="00401355" w:rsidP="00C57A36">
      <w:pPr>
        <w:tabs>
          <w:tab w:val="left" w:pos="2268"/>
        </w:tabs>
        <w:autoSpaceDN w:val="0"/>
        <w:spacing w:after="0" w:line="276" w:lineRule="auto"/>
      </w:pPr>
      <w:r>
        <w:t>Bankovní spojení</w:t>
      </w:r>
      <w:r w:rsidR="005C1633" w:rsidRPr="00AD1C61">
        <w:t xml:space="preserve">: </w:t>
      </w:r>
      <w:r>
        <w:tab/>
      </w:r>
      <w:r w:rsidR="00C57A36">
        <w:t>Československá obchodní banka, a.s.</w:t>
      </w:r>
    </w:p>
    <w:p w14:paraId="723A41E0" w14:textId="77777777" w:rsidR="005C1633" w:rsidRPr="00AD1C61" w:rsidRDefault="005C1633" w:rsidP="00C57A36">
      <w:pPr>
        <w:tabs>
          <w:tab w:val="left" w:pos="2268"/>
        </w:tabs>
        <w:autoSpaceDN w:val="0"/>
        <w:spacing w:after="0" w:line="276" w:lineRule="auto"/>
      </w:pPr>
      <w:r w:rsidRPr="00AD1C61">
        <w:t>Číslo účtu</w:t>
      </w:r>
      <w:r w:rsidR="00401355">
        <w:t>:</w:t>
      </w:r>
      <w:r w:rsidR="00401355">
        <w:tab/>
      </w:r>
      <w:r w:rsidRPr="00AD1C61">
        <w:t>280123725/0300</w:t>
      </w:r>
    </w:p>
    <w:p w14:paraId="3FFE10E8" w14:textId="77777777" w:rsidR="005C1633" w:rsidRPr="00AD1C61" w:rsidRDefault="005C1633" w:rsidP="00C57A36">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C57A36">
      <w:pPr>
        <w:tabs>
          <w:tab w:val="left" w:pos="2268"/>
        </w:tabs>
        <w:autoSpaceDN w:val="0"/>
        <w:spacing w:line="276"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C57A36">
      <w:pPr>
        <w:tabs>
          <w:tab w:val="left" w:pos="2268"/>
        </w:tabs>
        <w:autoSpaceDN w:val="0"/>
        <w:spacing w:after="120" w:line="276"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1BA02629" w:rsidR="005C1633" w:rsidRPr="00EB6889" w:rsidRDefault="00483BF7" w:rsidP="00C57A36">
      <w:pPr>
        <w:tabs>
          <w:tab w:val="left" w:pos="2268"/>
          <w:tab w:val="left" w:pos="2835"/>
          <w:tab w:val="left" w:pos="3828"/>
        </w:tabs>
        <w:autoSpaceDN w:val="0"/>
        <w:spacing w:after="0" w:line="276" w:lineRule="auto"/>
        <w:rPr>
          <w:b/>
          <w:sz w:val="24"/>
          <w:szCs w:val="24"/>
        </w:rPr>
      </w:pPr>
      <w:r w:rsidRPr="00483BF7">
        <w:rPr>
          <w:b/>
          <w:sz w:val="24"/>
          <w:szCs w:val="24"/>
        </w:rPr>
        <w:t xml:space="preserve">………………………………………………………… </w:t>
      </w:r>
      <w:r w:rsidR="005C1633"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3F8B221C" w:rsidR="00401355" w:rsidRPr="00AD1C61" w:rsidRDefault="00401355" w:rsidP="00C57A36">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C57A36" w:rsidRPr="00C57A36">
        <w:rPr>
          <w:iCs/>
        </w:rPr>
        <w:t>………………………..</w:t>
      </w:r>
      <w:r w:rsidR="00C57A3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3CEA27F9" w:rsidR="00401355" w:rsidRDefault="00401355" w:rsidP="00C57A36">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C57A36" w:rsidRPr="00C57A36">
        <w:rPr>
          <w:iCs/>
        </w:rPr>
        <w:t>………………………..</w:t>
      </w:r>
      <w:r w:rsidR="00C57A3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2FE00536" w:rsidR="00401355" w:rsidRDefault="00401355" w:rsidP="00C57A36">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C57A36" w:rsidRPr="00C57A36">
        <w:rPr>
          <w:iCs/>
        </w:rPr>
        <w:t>………………………..</w:t>
      </w:r>
      <w:r w:rsidR="00C57A3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013BE1DB" w:rsidR="00401355" w:rsidRPr="00401355" w:rsidRDefault="00401355" w:rsidP="00C57A36">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C57A36" w:rsidRPr="00C57A36">
        <w:rPr>
          <w:iCs/>
        </w:rPr>
        <w:t>………………………..</w:t>
      </w:r>
      <w:r w:rsidR="00C57A3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65DE087A" w:rsidR="00401355" w:rsidRDefault="00401355" w:rsidP="00C57A36">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C57A36" w:rsidRPr="00C57A36">
        <w:rPr>
          <w:iCs/>
        </w:rPr>
        <w:t>………………………..</w:t>
      </w:r>
      <w:r w:rsidR="00C57A3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455B7FCB" w:rsidR="00401355" w:rsidRPr="00AD1C61" w:rsidRDefault="00401355" w:rsidP="00C57A36">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C57A36" w:rsidRPr="00C57A36">
        <w:rPr>
          <w:iCs/>
        </w:rPr>
        <w:t>………………………..</w:t>
      </w:r>
      <w:r w:rsidR="00C57A36">
        <w:rPr>
          <w:iCs/>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4EDF3D85" w:rsidR="005C1633" w:rsidRPr="00D94FAC" w:rsidRDefault="005C1633" w:rsidP="00C57A36">
      <w:pPr>
        <w:autoSpaceDN w:val="0"/>
        <w:spacing w:after="0" w:line="276" w:lineRule="auto"/>
        <w:rPr>
          <w:i/>
          <w:color w:val="AEAAAA" w:themeColor="background2" w:themeShade="BF"/>
          <w:highlight w:val="yellow"/>
        </w:rPr>
      </w:pPr>
      <w:r>
        <w:rPr>
          <w:rFonts w:cs="Arial"/>
        </w:rPr>
        <w:t>Společnost zapsaná v obchodním rejstříku vedeném</w:t>
      </w:r>
      <w:r w:rsidR="00C57A36">
        <w:rPr>
          <w:rFonts w:cs="Arial"/>
        </w:rPr>
        <w:t xml:space="preserve"> u ……….. soudu </w:t>
      </w:r>
      <w:r>
        <w:rPr>
          <w:rFonts w:cs="Arial"/>
        </w:rPr>
        <w:t>v </w:t>
      </w:r>
      <w:r w:rsidR="00C57A36">
        <w:rPr>
          <w:rFonts w:cs="Arial"/>
        </w:rPr>
        <w:t xml:space="preserve">………….., </w:t>
      </w:r>
      <w:r>
        <w:rPr>
          <w:rFonts w:cs="Arial"/>
        </w:rPr>
        <w:t>oddíl</w:t>
      </w:r>
      <w:r w:rsidR="00C57A36">
        <w:rPr>
          <w:rFonts w:cs="Arial"/>
        </w:rPr>
        <w:t xml:space="preserve"> ….,</w:t>
      </w:r>
      <w:r w:rsidR="004A4DDF">
        <w:rPr>
          <w:rFonts w:cs="Arial"/>
          <w:color w:val="AEAAAA" w:themeColor="background2" w:themeShade="BF"/>
        </w:rPr>
        <w:t xml:space="preserve"> </w:t>
      </w:r>
      <w:r w:rsidR="00C57A36">
        <w:rPr>
          <w:rFonts w:cs="Arial"/>
        </w:rPr>
        <w:t>v</w:t>
      </w:r>
      <w:r>
        <w:rPr>
          <w:rFonts w:cs="Arial"/>
        </w:rPr>
        <w:t>ložka</w:t>
      </w:r>
      <w:r w:rsidR="00C57A36">
        <w:rPr>
          <w:rFonts w:cs="Arial"/>
        </w:rPr>
        <w:t xml:space="preserve"> …………..</w:t>
      </w:r>
      <w:r>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C57A36">
      <w:pPr>
        <w:spacing w:after="0" w:line="276" w:lineRule="auto"/>
      </w:pPr>
      <w:r>
        <w:t xml:space="preserve">dále jen </w:t>
      </w:r>
      <w:r w:rsidR="00E6122C">
        <w:rPr>
          <w:b/>
        </w:rPr>
        <w:t>Zhotovit</w:t>
      </w:r>
      <w:r w:rsidR="00420FB8" w:rsidRPr="00A23402">
        <w:rPr>
          <w:b/>
        </w:rPr>
        <w:t>el</w:t>
      </w:r>
      <w:r w:rsidR="00420FB8" w:rsidRPr="001171AC">
        <w:t xml:space="preserve"> na straně druhé</w:t>
      </w:r>
    </w:p>
    <w:bookmarkEnd w:id="1"/>
    <w:p w14:paraId="14F30957" w14:textId="67ADCC8D" w:rsidR="00401355" w:rsidRDefault="00C57A36" w:rsidP="00C57A36">
      <w:pPr>
        <w:pStyle w:val="pocrad"/>
        <w:tabs>
          <w:tab w:val="left" w:pos="2057"/>
        </w:tabs>
        <w:spacing w:after="240"/>
        <w:rPr>
          <w:rFonts w:cs="Arial"/>
        </w:rPr>
      </w:pPr>
      <w:r>
        <w:rPr>
          <w:rFonts w:cs="Arial"/>
        </w:rPr>
        <w:tab/>
      </w:r>
    </w:p>
    <w:p w14:paraId="6C32A06B" w14:textId="77777777" w:rsidR="00A23402" w:rsidRPr="00C5230D" w:rsidRDefault="00A23402" w:rsidP="009F5010">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9F5010">
      <w:pPr>
        <w:pStyle w:val="Bezmezer"/>
        <w:spacing w:after="60"/>
      </w:pPr>
      <w:bookmarkStart w:id="3"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3"/>
    </w:p>
    <w:p w14:paraId="7986310D" w14:textId="77777777" w:rsidR="009305D5" w:rsidRPr="003007B4" w:rsidRDefault="009305D5" w:rsidP="00C57A36">
      <w:pPr>
        <w:pStyle w:val="Bezmezer"/>
        <w:spacing w:after="120"/>
      </w:pPr>
    </w:p>
    <w:p w14:paraId="4E57A4DD" w14:textId="67297C26" w:rsidR="00420FB8" w:rsidRDefault="00C57A36" w:rsidP="00C57A36">
      <w:pPr>
        <w:pStyle w:val="Bezmezer"/>
        <w:spacing w:after="60"/>
        <w:jc w:val="both"/>
        <w:rPr>
          <w:highlight w:val="cyan"/>
        </w:rPr>
      </w:pPr>
      <w:r w:rsidRPr="00C57A36">
        <w:t xml:space="preserve">Podkladem pro uzavření této Smlouvy je nabídka vítězného dodavatele předložená v rámci zadávacího řízení zadávaného ve zjednodušeném podlimitním řízení s názvem </w:t>
      </w:r>
      <w:r w:rsidRPr="00C57A36">
        <w:rPr>
          <w:b/>
          <w:bCs/>
        </w:rPr>
        <w:t>Nástroj pro řízení informačních rizik</w:t>
      </w:r>
      <w:r>
        <w:rPr>
          <w:b/>
          <w:bCs/>
        </w:rPr>
        <w:t xml:space="preserve"> opakované</w:t>
      </w:r>
      <w:r w:rsidRPr="00C57A36">
        <w:rPr>
          <w:b/>
          <w:bCs/>
        </w:rPr>
        <w:t xml:space="preserve"> znovuvyhlášení</w:t>
      </w:r>
      <w:r w:rsidRPr="00C57A36">
        <w:t xml:space="preserve"> (dále jen „veřejná zakázka“) realizovaného v souladu se zákonem č. 134/2016 Sb., o zadávání veřejných zakázek, ve znění pozdějších předpisů.</w:t>
      </w:r>
    </w:p>
    <w:p w14:paraId="4F3D8B24" w14:textId="77777777" w:rsidR="00733EAF" w:rsidRDefault="00733EAF" w:rsidP="009F5010">
      <w:pPr>
        <w:pStyle w:val="Bezmezer"/>
        <w:spacing w:after="60"/>
        <w:rPr>
          <w:highlight w:val="cyan"/>
        </w:rPr>
      </w:pPr>
    </w:p>
    <w:p w14:paraId="687AF1A2" w14:textId="7E7140E3" w:rsidR="003007B4" w:rsidRDefault="003007B4" w:rsidP="009F5010">
      <w:pPr>
        <w:spacing w:after="60" w:line="240" w:lineRule="auto"/>
        <w:rPr>
          <w:lang w:eastAsia="en-US"/>
        </w:rPr>
      </w:pPr>
    </w:p>
    <w:p w14:paraId="6E9C5C69" w14:textId="1BE3EB46" w:rsidR="003A599F" w:rsidRPr="00640A13" w:rsidRDefault="003A599F" w:rsidP="009F5010">
      <w:pPr>
        <w:pStyle w:val="Nadpis1"/>
        <w:keepLines w:val="0"/>
        <w:numPr>
          <w:ilvl w:val="0"/>
          <w:numId w:val="1"/>
        </w:numPr>
        <w:spacing w:before="0" w:after="6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7F922B91" w14:textId="1B328F12" w:rsidR="003A599F" w:rsidRDefault="003A599F" w:rsidP="003629CE">
      <w:pPr>
        <w:numPr>
          <w:ilvl w:val="0"/>
          <w:numId w:val="2"/>
        </w:numPr>
        <w:spacing w:after="60" w:line="240" w:lineRule="auto"/>
        <w:ind w:left="426" w:hanging="426"/>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3629CE">
      <w:pPr>
        <w:numPr>
          <w:ilvl w:val="0"/>
          <w:numId w:val="2"/>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3629CE">
      <w:pPr>
        <w:numPr>
          <w:ilvl w:val="0"/>
          <w:numId w:val="2"/>
        </w:numPr>
        <w:spacing w:after="60" w:line="240" w:lineRule="auto"/>
        <w:ind w:left="426" w:hanging="426"/>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39FFD1DC" w14:textId="77777777" w:rsidR="0010538B" w:rsidRDefault="0010538B" w:rsidP="003629CE">
      <w:pPr>
        <w:numPr>
          <w:ilvl w:val="0"/>
          <w:numId w:val="2"/>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2622BDDD" w14:textId="77777777" w:rsidR="0010538B" w:rsidRDefault="0010538B" w:rsidP="003629CE">
      <w:pPr>
        <w:numPr>
          <w:ilvl w:val="0"/>
          <w:numId w:val="2"/>
        </w:numPr>
        <w:spacing w:after="60" w:line="240" w:lineRule="auto"/>
        <w:ind w:left="426" w:hanging="426"/>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34B933F0" w14:textId="77777777" w:rsidR="0010538B" w:rsidRDefault="0010538B" w:rsidP="0010538B">
      <w:pPr>
        <w:spacing w:after="60" w:line="240" w:lineRule="auto"/>
        <w:ind w:left="360"/>
        <w:jc w:val="both"/>
      </w:pPr>
    </w:p>
    <w:p w14:paraId="46D9D2FF" w14:textId="0F292B7B" w:rsidR="00141482" w:rsidRPr="00640A13" w:rsidRDefault="00141482"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71765918" w:rsidR="00D735D2" w:rsidRDefault="0032400D" w:rsidP="003629CE">
      <w:pPr>
        <w:numPr>
          <w:ilvl w:val="0"/>
          <w:numId w:val="40"/>
        </w:numPr>
        <w:spacing w:after="60" w:line="240" w:lineRule="auto"/>
        <w:ind w:left="426" w:hanging="426"/>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w:t>
      </w:r>
      <w:r w:rsidR="0082437D">
        <w:t>zadávacího</w:t>
      </w:r>
      <w:r w:rsidR="00D735D2">
        <w:t xml:space="preserve"> řízení na dodávku řešení pro </w:t>
      </w:r>
      <w:r w:rsidR="00C57A36">
        <w:rPr>
          <w:b/>
          <w:bCs/>
        </w:rPr>
        <w:t>n</w:t>
      </w:r>
      <w:r w:rsidR="00FA4673">
        <w:rPr>
          <w:b/>
          <w:bCs/>
        </w:rPr>
        <w:t>ástroj</w:t>
      </w:r>
      <w:r w:rsidR="00FA4673" w:rsidRPr="009B15CD">
        <w:rPr>
          <w:b/>
          <w:bCs/>
        </w:rPr>
        <w:t xml:space="preserve"> pro řízení informačních rizik</w:t>
      </w:r>
      <w:r w:rsidR="00FA4673"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28822B39" w14:textId="77777777" w:rsidR="009F5010" w:rsidRDefault="009F5010" w:rsidP="00C57A36">
      <w:pPr>
        <w:spacing w:after="60" w:line="240" w:lineRule="auto"/>
        <w:ind w:left="360"/>
        <w:jc w:val="both"/>
      </w:pPr>
    </w:p>
    <w:p w14:paraId="0C85E752" w14:textId="53BC28F3" w:rsidR="001140FF" w:rsidRPr="00D735D2" w:rsidRDefault="001140FF" w:rsidP="009F5010">
      <w:pPr>
        <w:pStyle w:val="Nadpis1"/>
        <w:keepLines w:val="0"/>
        <w:numPr>
          <w:ilvl w:val="0"/>
          <w:numId w:val="1"/>
        </w:numPr>
        <w:spacing w:before="0" w:after="6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321F769A" w:rsidR="006A0C86" w:rsidRDefault="008B75AB" w:rsidP="003629CE">
      <w:pPr>
        <w:numPr>
          <w:ilvl w:val="0"/>
          <w:numId w:val="11"/>
        </w:numPr>
        <w:spacing w:after="60" w:line="240" w:lineRule="auto"/>
        <w:ind w:left="426" w:hanging="426"/>
        <w:jc w:val="both"/>
      </w:pPr>
      <w:bookmarkStart w:id="4"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w:t>
      </w:r>
      <w:r w:rsidR="009504CE">
        <w:t>.</w:t>
      </w:r>
      <w:r w:rsidR="000563D4">
        <w:t xml:space="preserve"> a 3</w:t>
      </w:r>
      <w:r w:rsidR="009504CE">
        <w:t>.</w:t>
      </w:r>
      <w:r w:rsidR="000563D4">
        <w:t xml:space="preserve"> tohoto článku</w:t>
      </w:r>
      <w:r w:rsidR="008D1637">
        <w:t xml:space="preserve"> Smlouvy.</w:t>
      </w:r>
      <w:r w:rsidR="000563D4">
        <w:t xml:space="preserve"> </w:t>
      </w:r>
    </w:p>
    <w:bookmarkEnd w:id="4"/>
    <w:p w14:paraId="02B88FC2" w14:textId="77777777" w:rsidR="00FA4673" w:rsidRDefault="00FA4673" w:rsidP="003629CE">
      <w:pPr>
        <w:numPr>
          <w:ilvl w:val="0"/>
          <w:numId w:val="11"/>
        </w:numPr>
        <w:spacing w:after="60" w:line="240" w:lineRule="auto"/>
        <w:ind w:left="426" w:hanging="426"/>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t xml:space="preserve">, </w:t>
      </w:r>
      <w:bookmarkStart w:id="5" w:name="_Hlk510095614"/>
      <w:r>
        <w:t xml:space="preserve">které jsou součástí </w:t>
      </w:r>
      <w:r w:rsidRPr="004A1D9D">
        <w:rPr>
          <w:b/>
        </w:rPr>
        <w:t>díla</w:t>
      </w:r>
      <w:r>
        <w:t>,</w:t>
      </w:r>
      <w:r w:rsidRPr="006A0C86">
        <w:t xml:space="preserve"> </w:t>
      </w:r>
      <w:bookmarkEnd w:id="5"/>
      <w:r w:rsidRPr="006A0C86">
        <w:t>je uvedena v Příloze č. 1 této Smlouvy.</w:t>
      </w:r>
      <w:r>
        <w:t xml:space="preserve"> </w:t>
      </w:r>
    </w:p>
    <w:p w14:paraId="7D6FBBF2" w14:textId="77777777" w:rsidR="00FA4673" w:rsidRPr="002E7365" w:rsidRDefault="00FA4673" w:rsidP="003629CE">
      <w:pPr>
        <w:numPr>
          <w:ilvl w:val="0"/>
          <w:numId w:val="11"/>
        </w:numPr>
        <w:spacing w:after="60" w:line="240" w:lineRule="auto"/>
        <w:ind w:left="426" w:hanging="426"/>
        <w:jc w:val="both"/>
      </w:pPr>
      <w:r w:rsidRPr="002E7365">
        <w:t>Rozsah plnění díla</w:t>
      </w:r>
      <w:r>
        <w:t xml:space="preserve">, vč. dodávek konfiguračních položek, </w:t>
      </w:r>
      <w:r w:rsidRPr="002E7365">
        <w:t>dle této Smlouvy zahrnuje:</w:t>
      </w:r>
    </w:p>
    <w:p w14:paraId="428A3524" w14:textId="77777777" w:rsidR="00FA4673" w:rsidRPr="00307BDA" w:rsidRDefault="00FA4673" w:rsidP="003629CE">
      <w:pPr>
        <w:pStyle w:val="Odstavecseseznamem"/>
        <w:numPr>
          <w:ilvl w:val="1"/>
          <w:numId w:val="7"/>
        </w:numPr>
        <w:spacing w:before="0" w:after="120" w:line="240" w:lineRule="auto"/>
        <w:ind w:left="717" w:hanging="291"/>
        <w:contextualSpacing w:val="0"/>
        <w:rPr>
          <w:rFonts w:ascii="Calibri" w:hAnsi="Calibri"/>
          <w:szCs w:val="20"/>
        </w:rPr>
      </w:pPr>
      <w:r w:rsidRPr="00307BDA">
        <w:rPr>
          <w:rFonts w:ascii="Calibri" w:hAnsi="Calibri"/>
          <w:szCs w:val="20"/>
        </w:rPr>
        <w:t xml:space="preserve">dodávku </w:t>
      </w:r>
      <w:r w:rsidRPr="00307BDA">
        <w:rPr>
          <w:rFonts w:ascii="Calibri" w:hAnsi="Calibri"/>
          <w:b/>
          <w:szCs w:val="20"/>
        </w:rPr>
        <w:t xml:space="preserve">aplikačního softwarového vybavení </w:t>
      </w:r>
      <w:r w:rsidRPr="00307BDA">
        <w:rPr>
          <w:rFonts w:ascii="Calibri" w:hAnsi="Calibri"/>
          <w:szCs w:val="20"/>
        </w:rPr>
        <w:t xml:space="preserve">(dále jen </w:t>
      </w:r>
      <w:r w:rsidRPr="00307BDA">
        <w:rPr>
          <w:rFonts w:ascii="Calibri" w:hAnsi="Calibri"/>
          <w:b/>
          <w:szCs w:val="20"/>
        </w:rPr>
        <w:t>ASW</w:t>
      </w:r>
      <w:r w:rsidRPr="00307BDA">
        <w:rPr>
          <w:rFonts w:ascii="Calibri" w:hAnsi="Calibri"/>
          <w:szCs w:val="20"/>
        </w:rPr>
        <w:t xml:space="preserve">), tj. kompletní dodávku všech potřebných </w:t>
      </w:r>
      <w:r w:rsidRPr="00307BDA">
        <w:rPr>
          <w:rFonts w:ascii="Calibri" w:hAnsi="Calibri"/>
          <w:b/>
          <w:szCs w:val="20"/>
        </w:rPr>
        <w:t>aplikačních softwarových modulů a licencí</w:t>
      </w:r>
      <w:r w:rsidRPr="00307BDA">
        <w:rPr>
          <w:rFonts w:ascii="Calibri" w:hAnsi="Calibri"/>
          <w:szCs w:val="20"/>
        </w:rPr>
        <w:t xml:space="preserve">, které zaručují odstranění veškerých případných limitů na využití všech funkcionalit dodávaného řešení. </w:t>
      </w:r>
    </w:p>
    <w:p w14:paraId="4B258B28" w14:textId="77777777" w:rsidR="00FA4673" w:rsidRPr="00307BDA" w:rsidRDefault="00FA4673" w:rsidP="00FA4673">
      <w:pPr>
        <w:pStyle w:val="Odstavecseseznamem"/>
        <w:spacing w:before="0" w:after="120" w:line="240" w:lineRule="auto"/>
        <w:ind w:left="717"/>
        <w:contextualSpacing w:val="0"/>
        <w:rPr>
          <w:rFonts w:ascii="Calibri" w:hAnsi="Calibri"/>
          <w:szCs w:val="20"/>
        </w:rPr>
      </w:pPr>
      <w:bookmarkStart w:id="6" w:name="_Hlk510095785"/>
      <w:r w:rsidRPr="00307BDA">
        <w:rPr>
          <w:rFonts w:ascii="Calibri" w:hAnsi="Calibri"/>
          <w:szCs w:val="20"/>
        </w:rPr>
        <w:t>Výčet všech dodávaných ASW, licenční model, typ poskytnutých licencí (per user, per named user, per device, concurrent apod.) a počet poskytnutých licencí je uveden v Příloze č. 1.</w:t>
      </w:r>
    </w:p>
    <w:bookmarkEnd w:id="6"/>
    <w:p w14:paraId="7A5858A4" w14:textId="77777777" w:rsidR="00FA4673" w:rsidRPr="00307BDA" w:rsidRDefault="00FA4673" w:rsidP="003629CE">
      <w:pPr>
        <w:pStyle w:val="Odstavecseseznamem"/>
        <w:numPr>
          <w:ilvl w:val="1"/>
          <w:numId w:val="7"/>
        </w:numPr>
        <w:spacing w:before="0" w:after="120" w:line="240" w:lineRule="auto"/>
        <w:ind w:left="717" w:hanging="291"/>
        <w:contextualSpacing w:val="0"/>
        <w:rPr>
          <w:rFonts w:ascii="Calibri" w:hAnsi="Calibri"/>
          <w:szCs w:val="20"/>
        </w:rPr>
      </w:pPr>
      <w:r w:rsidRPr="00307BDA">
        <w:rPr>
          <w:rFonts w:ascii="Calibri" w:hAnsi="Calibri"/>
          <w:szCs w:val="20"/>
        </w:rPr>
        <w:t xml:space="preserve">dodávku potřebného </w:t>
      </w:r>
      <w:r w:rsidRPr="00307BDA">
        <w:rPr>
          <w:rFonts w:ascii="Calibri" w:hAnsi="Calibri"/>
          <w:b/>
          <w:szCs w:val="20"/>
        </w:rPr>
        <w:t>systémového softwarového vybavení</w:t>
      </w:r>
      <w:r w:rsidRPr="00307BDA">
        <w:rPr>
          <w:rFonts w:ascii="Calibri" w:hAnsi="Calibri"/>
          <w:szCs w:val="20"/>
        </w:rPr>
        <w:t xml:space="preserve"> (dále jen </w:t>
      </w:r>
      <w:r w:rsidRPr="00307BDA">
        <w:rPr>
          <w:rFonts w:ascii="Calibri" w:hAnsi="Calibri"/>
          <w:b/>
          <w:szCs w:val="20"/>
        </w:rPr>
        <w:t>SSW</w:t>
      </w:r>
      <w:r w:rsidRPr="00307BDA">
        <w:rPr>
          <w:rFonts w:ascii="Calibri" w:hAnsi="Calibri"/>
          <w:szCs w:val="20"/>
        </w:rPr>
        <w:t xml:space="preserve">), tj. kompletní dodávku všech potřebných </w:t>
      </w:r>
      <w:r w:rsidRPr="00307BDA">
        <w:rPr>
          <w:rFonts w:ascii="Calibri" w:hAnsi="Calibri"/>
          <w:b/>
          <w:szCs w:val="20"/>
        </w:rPr>
        <w:t xml:space="preserve">systémových software a licencí </w:t>
      </w:r>
      <w:r w:rsidRPr="00307BDA">
        <w:rPr>
          <w:rFonts w:ascii="Calibri" w:hAnsi="Calibri"/>
          <w:szCs w:val="20"/>
        </w:rPr>
        <w:t xml:space="preserve">které </w:t>
      </w:r>
      <w:r w:rsidRPr="00307BDA">
        <w:rPr>
          <w:rFonts w:ascii="Calibri" w:hAnsi="Calibri"/>
          <w:b/>
          <w:bCs/>
          <w:szCs w:val="20"/>
        </w:rPr>
        <w:t>nejsou</w:t>
      </w:r>
      <w:r w:rsidRPr="00307BDA">
        <w:rPr>
          <w:rFonts w:ascii="Calibri" w:hAnsi="Calibri"/>
          <w:szCs w:val="20"/>
        </w:rPr>
        <w:t xml:space="preserve"> součástí provozního prostředí Objednatele (např. linuxová operační prostředí, databázový systém, virtualizační prostředí a další případné specifické systémové komponenty). </w:t>
      </w:r>
    </w:p>
    <w:p w14:paraId="2A4D86FD" w14:textId="77777777" w:rsidR="00FA4673" w:rsidRPr="00307BDA" w:rsidRDefault="00FA4673" w:rsidP="000C2E1A">
      <w:pPr>
        <w:spacing w:after="120" w:line="240" w:lineRule="auto"/>
        <w:ind w:left="708"/>
        <w:jc w:val="both"/>
        <w:rPr>
          <w:rFonts w:ascii="Calibri" w:hAnsi="Calibri"/>
          <w:szCs w:val="20"/>
        </w:rPr>
      </w:pPr>
      <w:bookmarkStart w:id="7" w:name="_Hlk510095869"/>
      <w:r w:rsidRPr="00307BDA">
        <w:rPr>
          <w:rFonts w:ascii="Calibri" w:hAnsi="Calibri"/>
          <w:szCs w:val="20"/>
        </w:rPr>
        <w:t>Výčet všech dodávaných SSW, licenční model, typ poskytnutých licencí a počet poskytnutých licencí je uveden v Příloze č. 1.</w:t>
      </w:r>
    </w:p>
    <w:bookmarkEnd w:id="7"/>
    <w:p w14:paraId="7B4051AD" w14:textId="77777777" w:rsidR="00FA4673" w:rsidRPr="00307BDA" w:rsidRDefault="00FA4673" w:rsidP="003629CE">
      <w:pPr>
        <w:pStyle w:val="Odstavecseseznamem"/>
        <w:numPr>
          <w:ilvl w:val="1"/>
          <w:numId w:val="7"/>
        </w:numPr>
        <w:spacing w:before="0" w:after="120" w:line="240" w:lineRule="auto"/>
        <w:ind w:left="717" w:hanging="291"/>
        <w:contextualSpacing w:val="0"/>
        <w:rPr>
          <w:rFonts w:ascii="Calibri" w:hAnsi="Calibri"/>
          <w:szCs w:val="20"/>
        </w:rPr>
      </w:pPr>
      <w:r w:rsidRPr="00307BDA">
        <w:rPr>
          <w:rFonts w:ascii="Calibri" w:hAnsi="Calibri"/>
          <w:szCs w:val="20"/>
        </w:rPr>
        <w:lastRenderedPageBreak/>
        <w:t xml:space="preserve">všechny </w:t>
      </w:r>
      <w:r w:rsidRPr="00307BDA">
        <w:rPr>
          <w:rFonts w:ascii="Calibri" w:hAnsi="Calibri"/>
          <w:b/>
          <w:szCs w:val="20"/>
        </w:rPr>
        <w:t xml:space="preserve">práce </w:t>
      </w:r>
      <w:r w:rsidRPr="00307BDA">
        <w:rPr>
          <w:rFonts w:ascii="Calibri" w:hAnsi="Calibri"/>
          <w:szCs w:val="20"/>
        </w:rPr>
        <w:t>spojené s realizací díla, zejména pak:</w:t>
      </w:r>
    </w:p>
    <w:p w14:paraId="6D8A5BC5" w14:textId="77777777" w:rsidR="00FA4673" w:rsidRDefault="00FA4673" w:rsidP="00AD37FD">
      <w:pPr>
        <w:pStyle w:val="Odstavecseseznamem"/>
        <w:numPr>
          <w:ilvl w:val="0"/>
          <w:numId w:val="8"/>
        </w:numPr>
        <w:spacing w:before="0" w:after="120" w:line="240" w:lineRule="auto"/>
        <w:contextualSpacing w:val="0"/>
        <w:rPr>
          <w:rFonts w:ascii="Calibri" w:hAnsi="Calibri"/>
          <w:szCs w:val="20"/>
        </w:rPr>
      </w:pPr>
      <w:bookmarkStart w:id="8" w:name="_Hlk135637415"/>
      <w:r w:rsidRPr="00307BDA">
        <w:rPr>
          <w:rFonts w:ascii="Calibri" w:hAnsi="Calibri"/>
          <w:szCs w:val="20"/>
        </w:rPr>
        <w:t xml:space="preserve">vypracování vstupního analytického prováděcího plánu projektu (dále jen </w:t>
      </w:r>
      <w:r w:rsidRPr="00307BDA">
        <w:rPr>
          <w:rFonts w:ascii="Calibri" w:hAnsi="Calibri"/>
          <w:b/>
          <w:bCs/>
          <w:szCs w:val="20"/>
        </w:rPr>
        <w:t>Implementační plán projektu</w:t>
      </w:r>
      <w:r w:rsidRPr="00307BDA">
        <w:rPr>
          <w:rFonts w:ascii="Calibri" w:hAnsi="Calibri"/>
          <w:szCs w:val="20"/>
        </w:rPr>
        <w:t>), vč. akceptačních procedur (nutných k provedení akceptace díla) a akceptačních protokolů,</w:t>
      </w:r>
    </w:p>
    <w:p w14:paraId="6FEF9391" w14:textId="77777777" w:rsidR="00FA4673" w:rsidRPr="007D40B6" w:rsidRDefault="00FA4673" w:rsidP="00AD37FD">
      <w:pPr>
        <w:widowControl w:val="0"/>
        <w:numPr>
          <w:ilvl w:val="0"/>
          <w:numId w:val="8"/>
        </w:numPr>
        <w:spacing w:after="60" w:line="240" w:lineRule="auto"/>
        <w:jc w:val="both"/>
        <w:rPr>
          <w:rFonts w:cs="Tahoma"/>
        </w:rPr>
      </w:pPr>
      <w:r>
        <w:rPr>
          <w:rFonts w:cs="Tahoma"/>
        </w:rPr>
        <w:t>p</w:t>
      </w:r>
      <w:r w:rsidRPr="007D40B6">
        <w:rPr>
          <w:rFonts w:cs="Tahoma"/>
        </w:rPr>
        <w:t>rovedení veškerých úkonů a činností nutných k tomu, aby software mohlo plnit sjednaný či obvyklý účel, zejména</w:t>
      </w:r>
      <w:r>
        <w:rPr>
          <w:rFonts w:cs="Tahoma"/>
        </w:rPr>
        <w:t>:</w:t>
      </w:r>
    </w:p>
    <w:p w14:paraId="54FD1D62" w14:textId="77777777" w:rsidR="00FA4673" w:rsidRPr="007D40B6" w:rsidRDefault="00FA4673" w:rsidP="00AD37FD">
      <w:pPr>
        <w:pStyle w:val="Odstavecseseznamem"/>
        <w:numPr>
          <w:ilvl w:val="1"/>
          <w:numId w:val="43"/>
        </w:numPr>
        <w:spacing w:before="0" w:after="120" w:line="240" w:lineRule="auto"/>
        <w:contextualSpacing w:val="0"/>
        <w:rPr>
          <w:rFonts w:cs="Tahoma"/>
          <w:szCs w:val="20"/>
        </w:rPr>
      </w:pPr>
      <w:r w:rsidRPr="00F4772E">
        <w:rPr>
          <w:rFonts w:cs="Tahoma"/>
          <w:b/>
          <w:bCs/>
          <w:szCs w:val="20"/>
        </w:rPr>
        <w:t>instalaci</w:t>
      </w:r>
      <w:r w:rsidRPr="007D40B6">
        <w:rPr>
          <w:rFonts w:cs="Tahoma"/>
          <w:szCs w:val="20"/>
        </w:rPr>
        <w:t xml:space="preserve"> dodávaného SW vybavení na prostředky zadavatele</w:t>
      </w:r>
      <w:r>
        <w:rPr>
          <w:rFonts w:cs="Tahoma"/>
          <w:szCs w:val="20"/>
        </w:rPr>
        <w:t xml:space="preserve"> ve struktuře schválené v Implementačním plánu projektu</w:t>
      </w:r>
      <w:r w:rsidRPr="007D40B6">
        <w:rPr>
          <w:rFonts w:cs="Tahoma"/>
          <w:szCs w:val="20"/>
        </w:rPr>
        <w:t xml:space="preserve">,  </w:t>
      </w:r>
    </w:p>
    <w:p w14:paraId="0D5D0E3F" w14:textId="77777777" w:rsidR="00FA4673" w:rsidRPr="00F4772E" w:rsidRDefault="00FA4673" w:rsidP="00AD37FD">
      <w:pPr>
        <w:pStyle w:val="Odstavecseseznamem"/>
        <w:numPr>
          <w:ilvl w:val="1"/>
          <w:numId w:val="43"/>
        </w:numPr>
        <w:spacing w:before="0" w:line="240" w:lineRule="auto"/>
        <w:contextualSpacing w:val="0"/>
        <w:rPr>
          <w:rFonts w:cs="Tahoma"/>
          <w:szCs w:val="20"/>
        </w:rPr>
      </w:pPr>
      <w:r w:rsidRPr="00F4772E">
        <w:rPr>
          <w:rFonts w:cs="Tahoma"/>
          <w:b/>
          <w:bCs/>
          <w:szCs w:val="20"/>
        </w:rPr>
        <w:t>implementaci</w:t>
      </w:r>
      <w:r w:rsidRPr="00F4772E">
        <w:rPr>
          <w:rFonts w:cs="Tahoma"/>
          <w:szCs w:val="20"/>
        </w:rPr>
        <w:t xml:space="preserve"> a </w:t>
      </w:r>
      <w:r w:rsidRPr="00F4772E">
        <w:rPr>
          <w:rFonts w:cs="Tahoma"/>
          <w:b/>
          <w:bCs/>
          <w:szCs w:val="20"/>
        </w:rPr>
        <w:t>vstupní</w:t>
      </w:r>
      <w:r w:rsidRPr="00F4772E">
        <w:rPr>
          <w:rFonts w:cs="Tahoma"/>
          <w:szCs w:val="20"/>
        </w:rPr>
        <w:t xml:space="preserve"> </w:t>
      </w:r>
      <w:r w:rsidRPr="00F4772E">
        <w:rPr>
          <w:rFonts w:cs="Tahoma"/>
          <w:b/>
          <w:bCs/>
          <w:szCs w:val="20"/>
        </w:rPr>
        <w:t>nastavení</w:t>
      </w:r>
      <w:r w:rsidRPr="00F4772E">
        <w:rPr>
          <w:rFonts w:cs="Tahoma"/>
          <w:szCs w:val="20"/>
        </w:rPr>
        <w:t xml:space="preserve"> dodávaného řešení. Vstupním nastavením se rozumí základní nastavení všech procesů realizovaných dodávaným systémem, zejména procesů spojených s:</w:t>
      </w:r>
    </w:p>
    <w:p w14:paraId="45F851F7" w14:textId="77777777" w:rsidR="00FA4673" w:rsidRDefault="00FA4673" w:rsidP="00AD37FD">
      <w:pPr>
        <w:pStyle w:val="Odstavecseseznamem"/>
        <w:numPr>
          <w:ilvl w:val="2"/>
          <w:numId w:val="44"/>
        </w:numPr>
        <w:spacing w:before="0" w:line="240" w:lineRule="auto"/>
        <w:contextualSpacing w:val="0"/>
        <w:rPr>
          <w:rFonts w:cs="Tahoma"/>
          <w:szCs w:val="20"/>
        </w:rPr>
      </w:pPr>
      <w:r>
        <w:rPr>
          <w:rFonts w:cs="Tahoma"/>
          <w:szCs w:val="20"/>
        </w:rPr>
        <w:t xml:space="preserve">prováděním rizikových analýz a hodnocením rizik, </w:t>
      </w:r>
    </w:p>
    <w:p w14:paraId="626D4AB8" w14:textId="77777777" w:rsidR="00FA4673" w:rsidRDefault="00FA4673" w:rsidP="00AD37FD">
      <w:pPr>
        <w:pStyle w:val="Odstavecseseznamem"/>
        <w:numPr>
          <w:ilvl w:val="2"/>
          <w:numId w:val="44"/>
        </w:numPr>
        <w:spacing w:before="0" w:line="240" w:lineRule="auto"/>
        <w:contextualSpacing w:val="0"/>
        <w:rPr>
          <w:rFonts w:cs="Tahoma"/>
          <w:szCs w:val="20"/>
        </w:rPr>
      </w:pPr>
      <w:r>
        <w:rPr>
          <w:rFonts w:cs="Tahoma"/>
          <w:szCs w:val="20"/>
        </w:rPr>
        <w:t xml:space="preserve">vedením agend všech podpůrných aktiv (ve smyslu zákona o kybernetické bezpečnosti ZoKB), </w:t>
      </w:r>
    </w:p>
    <w:p w14:paraId="15D85475" w14:textId="77777777" w:rsidR="00FA4673" w:rsidRDefault="00FA4673" w:rsidP="00AD37FD">
      <w:pPr>
        <w:pStyle w:val="Odstavecseseznamem"/>
        <w:numPr>
          <w:ilvl w:val="2"/>
          <w:numId w:val="44"/>
        </w:numPr>
        <w:spacing w:before="0" w:line="240" w:lineRule="auto"/>
        <w:contextualSpacing w:val="0"/>
        <w:rPr>
          <w:rFonts w:cs="Tahoma"/>
          <w:szCs w:val="20"/>
        </w:rPr>
      </w:pPr>
      <w:r>
        <w:rPr>
          <w:rFonts w:cs="Tahoma"/>
          <w:szCs w:val="20"/>
        </w:rPr>
        <w:t>nastavením vizualizačních schémat a pohledů,</w:t>
      </w:r>
    </w:p>
    <w:p w14:paraId="272CB74A" w14:textId="77777777" w:rsidR="00FA4673" w:rsidRDefault="00FA4673" w:rsidP="00AD37FD">
      <w:pPr>
        <w:pStyle w:val="Odstavecseseznamem"/>
        <w:numPr>
          <w:ilvl w:val="2"/>
          <w:numId w:val="44"/>
        </w:numPr>
        <w:spacing w:before="0" w:line="240" w:lineRule="auto"/>
        <w:contextualSpacing w:val="0"/>
        <w:rPr>
          <w:rFonts w:cs="Tahoma"/>
          <w:szCs w:val="20"/>
        </w:rPr>
      </w:pPr>
      <w:r>
        <w:rPr>
          <w:rFonts w:cs="Tahoma"/>
          <w:szCs w:val="20"/>
        </w:rPr>
        <w:t>plánováním a zvládáním řešení bezpečnostních událostí a</w:t>
      </w:r>
    </w:p>
    <w:p w14:paraId="798060DB" w14:textId="77777777" w:rsidR="00FA4673" w:rsidRDefault="00FA4673" w:rsidP="00AD37FD">
      <w:pPr>
        <w:pStyle w:val="Odstavecseseznamem"/>
        <w:numPr>
          <w:ilvl w:val="2"/>
          <w:numId w:val="44"/>
        </w:numPr>
        <w:spacing w:before="0" w:line="240" w:lineRule="auto"/>
        <w:contextualSpacing w:val="0"/>
        <w:rPr>
          <w:rFonts w:cs="Tahoma"/>
          <w:szCs w:val="20"/>
        </w:rPr>
      </w:pPr>
      <w:r>
        <w:rPr>
          <w:rFonts w:cs="Tahoma"/>
          <w:szCs w:val="20"/>
        </w:rPr>
        <w:t xml:space="preserve">procesy provádění auditů stavu kybernetické bezpečnosti </w:t>
      </w:r>
    </w:p>
    <w:p w14:paraId="4D109CA1" w14:textId="77777777" w:rsidR="00FA4673" w:rsidRDefault="00FA4673" w:rsidP="00AD37FD">
      <w:pPr>
        <w:pStyle w:val="Odstavecseseznamem"/>
        <w:numPr>
          <w:ilvl w:val="2"/>
          <w:numId w:val="44"/>
        </w:numPr>
        <w:spacing w:before="0" w:line="240" w:lineRule="auto"/>
        <w:contextualSpacing w:val="0"/>
        <w:rPr>
          <w:rFonts w:cs="Tahoma"/>
          <w:szCs w:val="20"/>
        </w:rPr>
      </w:pPr>
      <w:r>
        <w:rPr>
          <w:rFonts w:cs="Tahoma"/>
          <w:szCs w:val="20"/>
        </w:rPr>
        <w:t>reportováním</w:t>
      </w:r>
    </w:p>
    <w:p w14:paraId="1155BC0F" w14:textId="77777777" w:rsidR="00FA4673" w:rsidRPr="00413CE9" w:rsidRDefault="00FA4673" w:rsidP="00FA4673">
      <w:pPr>
        <w:spacing w:after="60"/>
        <w:ind w:left="1068"/>
        <w:rPr>
          <w:rFonts w:cs="Tahoma"/>
          <w:szCs w:val="20"/>
        </w:rPr>
      </w:pPr>
      <w:r w:rsidRPr="00413CE9">
        <w:rPr>
          <w:rFonts w:cs="Tahoma"/>
          <w:szCs w:val="20"/>
        </w:rPr>
        <w:t>tak,</w:t>
      </w:r>
      <w:r>
        <w:rPr>
          <w:rFonts w:cs="Tahoma"/>
          <w:szCs w:val="20"/>
        </w:rPr>
        <w:t xml:space="preserve"> aby systém řízení informačních rizik a zvládání bezpečnostních událostí vytvořil jeden konzistentní funkční celek.</w:t>
      </w:r>
    </w:p>
    <w:p w14:paraId="211C50AF" w14:textId="3D512DC9" w:rsidR="00FA4673" w:rsidRDefault="00FA4673" w:rsidP="00AD37FD">
      <w:pPr>
        <w:pStyle w:val="Odstavecseseznamem"/>
        <w:numPr>
          <w:ilvl w:val="0"/>
          <w:numId w:val="8"/>
        </w:numPr>
        <w:spacing w:before="0" w:line="240" w:lineRule="auto"/>
        <w:contextualSpacing w:val="0"/>
        <w:rPr>
          <w:rFonts w:cs="Tahoma"/>
          <w:szCs w:val="20"/>
        </w:rPr>
      </w:pPr>
      <w:r w:rsidRPr="007D40B6">
        <w:rPr>
          <w:rFonts w:cs="Tahoma"/>
          <w:szCs w:val="20"/>
        </w:rPr>
        <w:t xml:space="preserve">nastavení jednotných </w:t>
      </w:r>
      <w:r w:rsidRPr="00F4772E">
        <w:rPr>
          <w:rFonts w:cs="Tahoma"/>
          <w:b/>
          <w:bCs/>
          <w:szCs w:val="20"/>
        </w:rPr>
        <w:t>metodik</w:t>
      </w:r>
      <w:r w:rsidRPr="007D40B6">
        <w:rPr>
          <w:rFonts w:cs="Tahoma"/>
          <w:szCs w:val="20"/>
        </w:rPr>
        <w:t xml:space="preserve"> a </w:t>
      </w:r>
      <w:r w:rsidRPr="00F4772E">
        <w:rPr>
          <w:rFonts w:cs="Tahoma"/>
          <w:b/>
          <w:bCs/>
          <w:szCs w:val="20"/>
        </w:rPr>
        <w:t>pracovních</w:t>
      </w:r>
      <w:r w:rsidRPr="007D40B6">
        <w:rPr>
          <w:rFonts w:cs="Tahoma"/>
          <w:szCs w:val="20"/>
        </w:rPr>
        <w:t xml:space="preserve"> </w:t>
      </w:r>
      <w:r w:rsidRPr="00F4772E">
        <w:rPr>
          <w:rFonts w:cs="Tahoma"/>
          <w:b/>
          <w:bCs/>
          <w:szCs w:val="20"/>
        </w:rPr>
        <w:t>postupů</w:t>
      </w:r>
      <w:r w:rsidRPr="007D40B6">
        <w:rPr>
          <w:rFonts w:cs="Tahoma"/>
          <w:szCs w:val="20"/>
        </w:rPr>
        <w:t>.</w:t>
      </w:r>
    </w:p>
    <w:p w14:paraId="56501D1E" w14:textId="77777777" w:rsidR="00FA4673" w:rsidRPr="00F8686B" w:rsidRDefault="00FA4673" w:rsidP="00AD37FD">
      <w:pPr>
        <w:widowControl w:val="0"/>
        <w:numPr>
          <w:ilvl w:val="0"/>
          <w:numId w:val="8"/>
        </w:numPr>
        <w:spacing w:after="60" w:line="240" w:lineRule="auto"/>
        <w:jc w:val="both"/>
        <w:rPr>
          <w:rFonts w:cs="Tahoma"/>
        </w:rPr>
      </w:pPr>
      <w:r w:rsidRPr="00F8686B">
        <w:rPr>
          <w:rFonts w:cs="Tahoma"/>
        </w:rPr>
        <w:t>Specifické činnosti</w:t>
      </w:r>
    </w:p>
    <w:p w14:paraId="5A79F60B" w14:textId="77777777" w:rsidR="00FA4673" w:rsidRPr="007D40B6" w:rsidRDefault="00FA4673" w:rsidP="00AD37FD">
      <w:pPr>
        <w:pStyle w:val="Odstavecseseznamem"/>
        <w:numPr>
          <w:ilvl w:val="0"/>
          <w:numId w:val="45"/>
        </w:numPr>
        <w:spacing w:before="0" w:line="240" w:lineRule="auto"/>
        <w:contextualSpacing w:val="0"/>
        <w:rPr>
          <w:rFonts w:cs="Tahoma"/>
          <w:szCs w:val="20"/>
        </w:rPr>
      </w:pPr>
      <w:bookmarkStart w:id="9" w:name="_Hlk135637519"/>
      <w:r>
        <w:rPr>
          <w:rFonts w:cs="Tahoma"/>
          <w:szCs w:val="20"/>
        </w:rPr>
        <w:t>z</w:t>
      </w:r>
      <w:r w:rsidRPr="007D40B6">
        <w:rPr>
          <w:rFonts w:cs="Tahoma"/>
          <w:szCs w:val="20"/>
        </w:rPr>
        <w:t>pracování rizikové analýzy a dekompozice podpůrných a primárních aktiv v rozsahu základní analýzy dle ZoKB, včetně vizualizace vazeb</w:t>
      </w:r>
    </w:p>
    <w:p w14:paraId="13E0DE4A" w14:textId="77777777" w:rsidR="00FA4673" w:rsidRPr="007D40B6" w:rsidRDefault="00FA4673" w:rsidP="00AD37FD">
      <w:pPr>
        <w:pStyle w:val="Odstavecseseznamem"/>
        <w:numPr>
          <w:ilvl w:val="0"/>
          <w:numId w:val="45"/>
        </w:numPr>
        <w:spacing w:before="0" w:line="240" w:lineRule="auto"/>
        <w:contextualSpacing w:val="0"/>
        <w:rPr>
          <w:rFonts w:cs="Tahoma"/>
          <w:szCs w:val="20"/>
        </w:rPr>
      </w:pPr>
      <w:r>
        <w:rPr>
          <w:rFonts w:cs="Tahoma"/>
          <w:szCs w:val="20"/>
        </w:rPr>
        <w:t>z</w:t>
      </w:r>
      <w:r w:rsidRPr="007D40B6">
        <w:rPr>
          <w:rFonts w:cs="Tahoma"/>
          <w:szCs w:val="20"/>
        </w:rPr>
        <w:t>pracování podkladů pro interní audit kybernetické bezpečnosti</w:t>
      </w:r>
    </w:p>
    <w:p w14:paraId="34BC6BA4" w14:textId="77777777" w:rsidR="00FA4673" w:rsidRPr="007D40B6" w:rsidRDefault="00FA4673" w:rsidP="00AD37FD">
      <w:pPr>
        <w:pStyle w:val="Odstavecseseznamem"/>
        <w:numPr>
          <w:ilvl w:val="0"/>
          <w:numId w:val="45"/>
        </w:numPr>
        <w:spacing w:before="0" w:line="240" w:lineRule="auto"/>
        <w:contextualSpacing w:val="0"/>
        <w:rPr>
          <w:rFonts w:cs="Tahoma"/>
          <w:szCs w:val="20"/>
        </w:rPr>
      </w:pPr>
      <w:r>
        <w:rPr>
          <w:rFonts w:cs="Tahoma"/>
          <w:szCs w:val="20"/>
        </w:rPr>
        <w:t>z</w:t>
      </w:r>
      <w:r w:rsidRPr="007D40B6">
        <w:rPr>
          <w:rFonts w:cs="Tahoma"/>
          <w:szCs w:val="20"/>
        </w:rPr>
        <w:t>avedení procesů ZoKB a interního auditu do SW nástroje</w:t>
      </w:r>
      <w:r>
        <w:rPr>
          <w:rFonts w:cs="Tahoma"/>
          <w:szCs w:val="20"/>
        </w:rPr>
        <w:t>.</w:t>
      </w:r>
      <w:r w:rsidRPr="007D40B6">
        <w:rPr>
          <w:rFonts w:cs="Tahoma"/>
          <w:szCs w:val="20"/>
        </w:rPr>
        <w:t xml:space="preserve"> </w:t>
      </w:r>
    </w:p>
    <w:bookmarkEnd w:id="8"/>
    <w:bookmarkEnd w:id="9"/>
    <w:p w14:paraId="5A0CA1FF" w14:textId="77777777" w:rsidR="00FA4673" w:rsidRPr="00307BDA" w:rsidRDefault="00FA4673" w:rsidP="003629CE">
      <w:pPr>
        <w:pStyle w:val="Odstavecseseznamem"/>
        <w:numPr>
          <w:ilvl w:val="1"/>
          <w:numId w:val="7"/>
        </w:numPr>
        <w:spacing w:before="0" w:line="240" w:lineRule="auto"/>
        <w:ind w:left="717" w:hanging="291"/>
        <w:contextualSpacing w:val="0"/>
        <w:rPr>
          <w:rFonts w:ascii="Calibri" w:hAnsi="Calibri"/>
          <w:szCs w:val="20"/>
        </w:rPr>
      </w:pPr>
      <w:r w:rsidRPr="00307BDA">
        <w:rPr>
          <w:rFonts w:ascii="Calibri" w:hAnsi="Calibri"/>
          <w:szCs w:val="20"/>
        </w:rPr>
        <w:t xml:space="preserve">všechny typy </w:t>
      </w:r>
      <w:r w:rsidRPr="00307BDA">
        <w:rPr>
          <w:rFonts w:ascii="Calibri" w:hAnsi="Calibri"/>
          <w:b/>
          <w:szCs w:val="20"/>
        </w:rPr>
        <w:t>školení</w:t>
      </w:r>
      <w:r w:rsidRPr="00307BDA">
        <w:rPr>
          <w:rFonts w:ascii="Calibri" w:hAnsi="Calibri"/>
          <w:szCs w:val="20"/>
        </w:rPr>
        <w:t xml:space="preserve"> potřebné pro práci s dodávaným řešením:</w:t>
      </w:r>
    </w:p>
    <w:p w14:paraId="31AF90A0" w14:textId="77777777" w:rsidR="00FA4673" w:rsidRPr="00307BDA" w:rsidRDefault="00FA4673" w:rsidP="00AD37FD">
      <w:pPr>
        <w:pStyle w:val="Odstavecseseznamem"/>
        <w:numPr>
          <w:ilvl w:val="0"/>
          <w:numId w:val="8"/>
        </w:numPr>
        <w:spacing w:before="0" w:line="240" w:lineRule="auto"/>
        <w:contextualSpacing w:val="0"/>
        <w:rPr>
          <w:rFonts w:ascii="Calibri" w:hAnsi="Calibri"/>
          <w:szCs w:val="20"/>
        </w:rPr>
      </w:pPr>
      <w:r w:rsidRPr="00307BDA">
        <w:rPr>
          <w:rFonts w:ascii="Calibri" w:hAnsi="Calibri"/>
          <w:szCs w:val="20"/>
        </w:rPr>
        <w:t xml:space="preserve">školení </w:t>
      </w:r>
      <w:r>
        <w:rPr>
          <w:rFonts w:cs="Tahoma"/>
          <w:szCs w:val="20"/>
        </w:rPr>
        <w:t xml:space="preserve">systémových </w:t>
      </w:r>
      <w:r w:rsidRPr="007D40B6">
        <w:rPr>
          <w:rFonts w:cs="Tahoma"/>
          <w:szCs w:val="20"/>
        </w:rPr>
        <w:t>administrátorů, klíčových uživatelů a pracovníků v manažerských pozicích v počtu dle nastavených a obsazených rolí</w:t>
      </w:r>
      <w:r w:rsidRPr="00307BDA">
        <w:rPr>
          <w:rFonts w:ascii="Calibri" w:hAnsi="Calibri"/>
          <w:szCs w:val="20"/>
        </w:rPr>
        <w:t xml:space="preserve">: </w:t>
      </w:r>
      <w:r w:rsidRPr="00307BDA">
        <w:rPr>
          <w:rFonts w:ascii="Calibri" w:hAnsi="Calibri"/>
          <w:szCs w:val="20"/>
        </w:rPr>
        <w:tab/>
      </w:r>
      <w:r w:rsidRPr="00307BDA">
        <w:rPr>
          <w:rFonts w:ascii="Calibri" w:hAnsi="Calibri"/>
          <w:szCs w:val="20"/>
        </w:rPr>
        <w:tab/>
      </w:r>
      <w:r w:rsidRPr="00307BDA">
        <w:rPr>
          <w:rFonts w:ascii="Calibri" w:hAnsi="Calibri"/>
          <w:szCs w:val="20"/>
        </w:rPr>
        <w:tab/>
      </w:r>
      <w:r w:rsidRPr="00307BDA">
        <w:rPr>
          <w:rFonts w:ascii="Calibri" w:hAnsi="Calibri"/>
          <w:szCs w:val="20"/>
        </w:rPr>
        <w:tab/>
        <w:t xml:space="preserve">do </w:t>
      </w:r>
      <w:r>
        <w:rPr>
          <w:rFonts w:ascii="Calibri" w:hAnsi="Calibri"/>
          <w:szCs w:val="20"/>
        </w:rPr>
        <w:t>10 osob</w:t>
      </w:r>
    </w:p>
    <w:p w14:paraId="374C0D90" w14:textId="77777777" w:rsidR="00FA4673" w:rsidRPr="00307BDA" w:rsidRDefault="00FA4673" w:rsidP="00FA4673">
      <w:pPr>
        <w:pStyle w:val="Odstavecseseznamem"/>
        <w:spacing w:before="0" w:line="240" w:lineRule="auto"/>
        <w:ind w:left="1788"/>
        <w:contextualSpacing w:val="0"/>
        <w:rPr>
          <w:rFonts w:ascii="Calibri" w:hAnsi="Calibri"/>
          <w:color w:val="A6A6A6" w:themeColor="background1" w:themeShade="A6"/>
          <w:szCs w:val="20"/>
        </w:rPr>
      </w:pPr>
      <w:r w:rsidRPr="00307BDA">
        <w:rPr>
          <w:rFonts w:ascii="Calibri" w:hAnsi="Calibri"/>
          <w:szCs w:val="20"/>
        </w:rPr>
        <w:t>min. rozsah školení</w:t>
      </w:r>
      <w:r w:rsidRPr="00307BDA">
        <w:rPr>
          <w:rFonts w:ascii="Calibri" w:hAnsi="Calibri"/>
          <w:szCs w:val="20"/>
        </w:rPr>
        <w:tab/>
      </w:r>
      <w:r w:rsidRPr="00307BDA">
        <w:rPr>
          <w:rFonts w:ascii="Calibri" w:hAnsi="Calibri"/>
          <w:szCs w:val="20"/>
        </w:rPr>
        <w:tab/>
      </w:r>
      <w:r w:rsidRPr="00FA4673">
        <w:rPr>
          <w:rFonts w:ascii="Calibri" w:hAnsi="Calibri"/>
          <w:color w:val="A6A6A6" w:themeColor="background1" w:themeShade="A6"/>
          <w:szCs w:val="20"/>
          <w:highlight w:val="yellow"/>
        </w:rPr>
        <w:t>potřebný rozsah doplní Zhotovitel dle specifických rolí</w:t>
      </w:r>
    </w:p>
    <w:p w14:paraId="7BB11311" w14:textId="77777777" w:rsidR="00FA4673" w:rsidRPr="00307BDA" w:rsidRDefault="00FA4673" w:rsidP="003629CE">
      <w:pPr>
        <w:pStyle w:val="Odstavecseseznamem"/>
        <w:numPr>
          <w:ilvl w:val="1"/>
          <w:numId w:val="7"/>
        </w:numPr>
        <w:spacing w:before="0" w:line="240" w:lineRule="auto"/>
        <w:ind w:left="717" w:hanging="291"/>
        <w:contextualSpacing w:val="0"/>
        <w:rPr>
          <w:rFonts w:ascii="Calibri" w:hAnsi="Calibri"/>
          <w:szCs w:val="20"/>
        </w:rPr>
      </w:pPr>
      <w:r w:rsidRPr="00307BDA">
        <w:rPr>
          <w:rFonts w:ascii="Calibri" w:hAnsi="Calibri"/>
          <w:szCs w:val="20"/>
        </w:rPr>
        <w:t xml:space="preserve">kompletní </w:t>
      </w:r>
      <w:r w:rsidRPr="00307BDA">
        <w:rPr>
          <w:rFonts w:ascii="Calibri" w:hAnsi="Calibri"/>
          <w:b/>
          <w:szCs w:val="20"/>
        </w:rPr>
        <w:t>dokumentaci</w:t>
      </w:r>
      <w:r w:rsidRPr="00307BDA">
        <w:rPr>
          <w:rFonts w:ascii="Calibri" w:hAnsi="Calibri"/>
          <w:szCs w:val="20"/>
        </w:rPr>
        <w:t xml:space="preserve"> v elektronické podobě, která zahrnuje minimálně tuto dokumentaci:</w:t>
      </w:r>
    </w:p>
    <w:p w14:paraId="53357780" w14:textId="14DD5814" w:rsidR="00FA4673" w:rsidRPr="00307BDA" w:rsidRDefault="00FA4673" w:rsidP="00AD37FD">
      <w:pPr>
        <w:pStyle w:val="Odstavecseseznamem"/>
        <w:numPr>
          <w:ilvl w:val="0"/>
          <w:numId w:val="8"/>
        </w:numPr>
        <w:spacing w:before="0" w:line="240" w:lineRule="auto"/>
        <w:contextualSpacing w:val="0"/>
        <w:rPr>
          <w:rFonts w:ascii="Calibri" w:hAnsi="Calibri"/>
          <w:szCs w:val="20"/>
        </w:rPr>
      </w:pPr>
      <w:r w:rsidRPr="00307BDA">
        <w:rPr>
          <w:rFonts w:ascii="Calibri" w:hAnsi="Calibri"/>
          <w:b/>
          <w:bCs/>
          <w:szCs w:val="20"/>
        </w:rPr>
        <w:t>Uživatelský manuál</w:t>
      </w:r>
      <w:r w:rsidRPr="00307BDA">
        <w:rPr>
          <w:rFonts w:ascii="Calibri" w:hAnsi="Calibri"/>
          <w:szCs w:val="20"/>
        </w:rPr>
        <w:t xml:space="preserve"> - popisem uživatelských funkcí dodávan</w:t>
      </w:r>
      <w:r>
        <w:rPr>
          <w:rFonts w:ascii="Calibri" w:hAnsi="Calibri"/>
          <w:szCs w:val="20"/>
        </w:rPr>
        <w:t>ého softwarového nástroje</w:t>
      </w:r>
    </w:p>
    <w:p w14:paraId="45363AF2" w14:textId="77777777" w:rsidR="00FA4673" w:rsidRPr="00307BDA" w:rsidRDefault="00FA4673" w:rsidP="00AD37FD">
      <w:pPr>
        <w:pStyle w:val="Odstavecseseznamem"/>
        <w:numPr>
          <w:ilvl w:val="0"/>
          <w:numId w:val="8"/>
        </w:numPr>
        <w:spacing w:before="0" w:line="240" w:lineRule="auto"/>
        <w:contextualSpacing w:val="0"/>
        <w:rPr>
          <w:rFonts w:ascii="Calibri" w:hAnsi="Calibri"/>
          <w:szCs w:val="20"/>
        </w:rPr>
      </w:pPr>
      <w:r w:rsidRPr="00307BDA">
        <w:rPr>
          <w:rFonts w:ascii="Calibri" w:hAnsi="Calibri"/>
          <w:b/>
          <w:bCs/>
          <w:szCs w:val="20"/>
        </w:rPr>
        <w:t>Implementační plán projektu</w:t>
      </w:r>
      <w:r w:rsidRPr="00307BDA">
        <w:rPr>
          <w:rFonts w:ascii="Calibri" w:hAnsi="Calibri"/>
          <w:szCs w:val="20"/>
        </w:rPr>
        <w:t>:</w:t>
      </w:r>
    </w:p>
    <w:p w14:paraId="4C8040C3" w14:textId="77777777" w:rsidR="00FA4673" w:rsidRDefault="00FA4673" w:rsidP="00AD37FD">
      <w:pPr>
        <w:pStyle w:val="Odstavecseseznamem"/>
        <w:numPr>
          <w:ilvl w:val="0"/>
          <w:numId w:val="9"/>
        </w:numPr>
        <w:spacing w:before="0" w:line="240" w:lineRule="auto"/>
        <w:contextualSpacing w:val="0"/>
        <w:rPr>
          <w:rFonts w:ascii="Calibri" w:hAnsi="Calibri"/>
          <w:szCs w:val="20"/>
        </w:rPr>
      </w:pPr>
      <w:bookmarkStart w:id="10" w:name="_Hlk196808257"/>
      <w:r w:rsidRPr="00307BDA">
        <w:rPr>
          <w:rFonts w:ascii="Calibri" w:hAnsi="Calibri"/>
          <w:szCs w:val="20"/>
        </w:rPr>
        <w:t xml:space="preserve">analytická část – návrh realizace Díla a časový harmonogram, </w:t>
      </w:r>
    </w:p>
    <w:p w14:paraId="6F41536D" w14:textId="77777777" w:rsidR="00FA4673" w:rsidRPr="00307BDA" w:rsidRDefault="00FA4673" w:rsidP="00AD37FD">
      <w:pPr>
        <w:pStyle w:val="Odstavecseseznamem"/>
        <w:numPr>
          <w:ilvl w:val="0"/>
          <w:numId w:val="9"/>
        </w:numPr>
        <w:spacing w:before="0" w:line="240" w:lineRule="auto"/>
        <w:contextualSpacing w:val="0"/>
        <w:rPr>
          <w:rFonts w:ascii="Calibri" w:hAnsi="Calibri"/>
          <w:szCs w:val="20"/>
        </w:rPr>
      </w:pPr>
      <w:bookmarkStart w:id="11" w:name="_Hlk196808248"/>
      <w:bookmarkEnd w:id="10"/>
      <w:r w:rsidRPr="00307BDA">
        <w:rPr>
          <w:rFonts w:ascii="Calibri" w:hAnsi="Calibri"/>
          <w:szCs w:val="20"/>
        </w:rPr>
        <w:t xml:space="preserve">plán školení administrátorů a </w:t>
      </w:r>
      <w:r>
        <w:rPr>
          <w:rFonts w:ascii="Calibri" w:hAnsi="Calibri"/>
          <w:szCs w:val="20"/>
        </w:rPr>
        <w:t>dalších uživatelů dle specifických rolí</w:t>
      </w:r>
    </w:p>
    <w:bookmarkEnd w:id="11"/>
    <w:p w14:paraId="382A6D97" w14:textId="77777777" w:rsidR="00FA4673" w:rsidRPr="00307BDA" w:rsidRDefault="00FA4673" w:rsidP="00AD37FD">
      <w:pPr>
        <w:pStyle w:val="Odstavecseseznamem"/>
        <w:numPr>
          <w:ilvl w:val="0"/>
          <w:numId w:val="9"/>
        </w:numPr>
        <w:spacing w:before="0" w:line="240" w:lineRule="auto"/>
        <w:contextualSpacing w:val="0"/>
        <w:rPr>
          <w:rFonts w:ascii="Calibri" w:hAnsi="Calibri"/>
          <w:szCs w:val="20"/>
        </w:rPr>
      </w:pPr>
      <w:r w:rsidRPr="00307BDA">
        <w:rPr>
          <w:rFonts w:ascii="Calibri" w:hAnsi="Calibri"/>
          <w:szCs w:val="20"/>
        </w:rPr>
        <w:t xml:space="preserve">finální popis implementace dodávaného řešení (skutečné provedení), </w:t>
      </w:r>
    </w:p>
    <w:p w14:paraId="4EBB1066" w14:textId="77777777" w:rsidR="00FA4673" w:rsidRPr="00307BDA" w:rsidRDefault="00FA4673" w:rsidP="00AD37FD">
      <w:pPr>
        <w:pStyle w:val="Odstavecseseznamem"/>
        <w:numPr>
          <w:ilvl w:val="0"/>
          <w:numId w:val="9"/>
        </w:numPr>
        <w:spacing w:before="0" w:line="240" w:lineRule="auto"/>
        <w:contextualSpacing w:val="0"/>
        <w:rPr>
          <w:rFonts w:ascii="Calibri" w:hAnsi="Calibri"/>
          <w:szCs w:val="20"/>
        </w:rPr>
      </w:pPr>
      <w:r w:rsidRPr="00307BDA">
        <w:rPr>
          <w:rFonts w:ascii="Calibri" w:hAnsi="Calibri"/>
          <w:szCs w:val="20"/>
        </w:rPr>
        <w:t>akceptační procedury,</w:t>
      </w:r>
    </w:p>
    <w:p w14:paraId="7970EB06" w14:textId="77777777" w:rsidR="00FA4673" w:rsidRPr="00307BDA" w:rsidRDefault="00FA4673" w:rsidP="00AD37FD">
      <w:pPr>
        <w:pStyle w:val="Odstavecseseznamem"/>
        <w:numPr>
          <w:ilvl w:val="0"/>
          <w:numId w:val="9"/>
        </w:numPr>
        <w:spacing w:before="0" w:line="240" w:lineRule="auto"/>
        <w:contextualSpacing w:val="0"/>
        <w:rPr>
          <w:rFonts w:ascii="Calibri" w:hAnsi="Calibri"/>
          <w:szCs w:val="20"/>
        </w:rPr>
      </w:pPr>
      <w:r w:rsidRPr="00307BDA">
        <w:rPr>
          <w:rFonts w:ascii="Calibri" w:hAnsi="Calibri"/>
          <w:szCs w:val="20"/>
        </w:rPr>
        <w:t>akceptační protokoly.</w:t>
      </w:r>
    </w:p>
    <w:p w14:paraId="7BF53A70" w14:textId="77777777" w:rsidR="00FA4673" w:rsidRPr="00307BDA" w:rsidRDefault="00FA4673" w:rsidP="00AD37FD">
      <w:pPr>
        <w:pStyle w:val="Odstavecseseznamem"/>
        <w:numPr>
          <w:ilvl w:val="0"/>
          <w:numId w:val="8"/>
        </w:numPr>
        <w:spacing w:before="0" w:line="240" w:lineRule="auto"/>
        <w:contextualSpacing w:val="0"/>
        <w:rPr>
          <w:rFonts w:ascii="Calibri" w:hAnsi="Calibri"/>
          <w:szCs w:val="20"/>
        </w:rPr>
      </w:pPr>
      <w:bookmarkStart w:id="12" w:name="_Hlk196808060"/>
      <w:r w:rsidRPr="00307BDA">
        <w:rPr>
          <w:rFonts w:ascii="Calibri" w:hAnsi="Calibri"/>
          <w:b/>
          <w:bCs/>
          <w:szCs w:val="20"/>
        </w:rPr>
        <w:t>Exit plán</w:t>
      </w:r>
      <w:r w:rsidRPr="00307BDA">
        <w:rPr>
          <w:rFonts w:ascii="Calibri" w:hAnsi="Calibri"/>
          <w:szCs w:val="20"/>
        </w:rPr>
        <w:t xml:space="preserve"> – plán o řízeném ukončení spolupráce,</w:t>
      </w:r>
    </w:p>
    <w:bookmarkEnd w:id="12"/>
    <w:p w14:paraId="09CFE53C" w14:textId="77777777" w:rsidR="00FA4673" w:rsidRPr="00307BDA" w:rsidRDefault="00FA4673" w:rsidP="00AD37FD">
      <w:pPr>
        <w:pStyle w:val="Odstavecseseznamem"/>
        <w:numPr>
          <w:ilvl w:val="0"/>
          <w:numId w:val="8"/>
        </w:numPr>
        <w:spacing w:before="0" w:line="240" w:lineRule="auto"/>
        <w:contextualSpacing w:val="0"/>
        <w:rPr>
          <w:rFonts w:ascii="Calibri" w:hAnsi="Calibri"/>
          <w:szCs w:val="20"/>
        </w:rPr>
      </w:pPr>
      <w:r w:rsidRPr="00307BDA">
        <w:rPr>
          <w:rFonts w:ascii="Calibri" w:hAnsi="Calibri"/>
          <w:szCs w:val="20"/>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Default="00E6122C" w:rsidP="003629CE">
      <w:pPr>
        <w:numPr>
          <w:ilvl w:val="0"/>
          <w:numId w:val="11"/>
        </w:numPr>
        <w:spacing w:after="60" w:line="240" w:lineRule="auto"/>
        <w:ind w:left="426" w:hanging="426"/>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9F5010">
      <w:pPr>
        <w:pStyle w:val="Nadpis1"/>
        <w:keepLines w:val="0"/>
        <w:numPr>
          <w:ilvl w:val="0"/>
          <w:numId w:val="1"/>
        </w:numPr>
        <w:spacing w:before="0" w:after="60" w:line="240" w:lineRule="auto"/>
        <w:ind w:left="357" w:hanging="357"/>
        <w:jc w:val="center"/>
        <w:rPr>
          <w:color w:val="2F5496" w:themeColor="accent1" w:themeShade="BF"/>
        </w:rPr>
      </w:pPr>
      <w:r w:rsidRPr="002923D5">
        <w:rPr>
          <w:color w:val="2F5496" w:themeColor="accent1" w:themeShade="BF"/>
        </w:rPr>
        <w:lastRenderedPageBreak/>
        <w:t>Místo a způsob plnění</w:t>
      </w:r>
    </w:p>
    <w:p w14:paraId="2966AD7C" w14:textId="77A01639" w:rsidR="000778E9" w:rsidRPr="000778E9" w:rsidRDefault="002923D5" w:rsidP="00A401C0">
      <w:pPr>
        <w:numPr>
          <w:ilvl w:val="0"/>
          <w:numId w:val="4"/>
        </w:numPr>
        <w:spacing w:after="60" w:line="240" w:lineRule="auto"/>
        <w:ind w:left="426" w:hanging="426"/>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FA4673" w:rsidRDefault="00201B10" w:rsidP="00AD37FD">
      <w:pPr>
        <w:pStyle w:val="Odstavecseseznamem"/>
        <w:numPr>
          <w:ilvl w:val="0"/>
          <w:numId w:val="8"/>
        </w:numPr>
        <w:spacing w:before="0" w:line="240" w:lineRule="auto"/>
        <w:contextualSpacing w:val="0"/>
        <w:rPr>
          <w:rFonts w:ascii="Calibri" w:hAnsi="Calibri"/>
          <w:szCs w:val="20"/>
        </w:rPr>
      </w:pPr>
      <w:r w:rsidRPr="00FA4673">
        <w:rPr>
          <w:rFonts w:ascii="Calibri" w:hAnsi="Calibri"/>
          <w:szCs w:val="20"/>
        </w:rPr>
        <w:t>Pardubická nemocnice, Kyjevská 44, 53203 Pardubice,</w:t>
      </w:r>
    </w:p>
    <w:p w14:paraId="32435E19" w14:textId="0D4462ED" w:rsidR="002923D5" w:rsidRDefault="00E6122C" w:rsidP="00A401C0">
      <w:pPr>
        <w:numPr>
          <w:ilvl w:val="0"/>
          <w:numId w:val="4"/>
        </w:numPr>
        <w:spacing w:after="60" w:line="240" w:lineRule="auto"/>
        <w:ind w:left="426" w:hanging="426"/>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35BC54EA" w:rsidR="00CF3F9F" w:rsidRPr="00FA4673" w:rsidRDefault="00CF3F9F" w:rsidP="00A401C0">
      <w:pPr>
        <w:numPr>
          <w:ilvl w:val="0"/>
          <w:numId w:val="4"/>
        </w:numPr>
        <w:spacing w:after="60" w:line="240" w:lineRule="auto"/>
        <w:ind w:left="426" w:hanging="426"/>
        <w:jc w:val="both"/>
      </w:pPr>
      <w:r w:rsidRPr="00FA4673">
        <w:t xml:space="preserve">Na plnění díla se budou podílet osoby z týmu </w:t>
      </w:r>
      <w:r w:rsidR="003C3A21" w:rsidRPr="00FA4673">
        <w:t>Z</w:t>
      </w:r>
      <w:r w:rsidRPr="00FA4673">
        <w:t xml:space="preserve">hotovitele, jejichž seznam zhotovitel předložil ve své </w:t>
      </w:r>
      <w:r w:rsidRPr="00FA4673">
        <w:rPr>
          <w:b/>
          <w:bCs/>
        </w:rPr>
        <w:t xml:space="preserve">nabídce v předmětném zadávacím řízení k prokázání </w:t>
      </w:r>
      <w:r w:rsidRPr="0010538B">
        <w:rPr>
          <w:b/>
          <w:bCs/>
        </w:rPr>
        <w:t xml:space="preserve">kvalifikace dle </w:t>
      </w:r>
      <w:r w:rsidR="0010538B" w:rsidRPr="0010538B">
        <w:rPr>
          <w:b/>
          <w:bCs/>
        </w:rPr>
        <w:t>požadavků</w:t>
      </w:r>
      <w:r w:rsidR="00556883" w:rsidRPr="00FA4673">
        <w:rPr>
          <w:b/>
          <w:bCs/>
        </w:rPr>
        <w:t xml:space="preserve"> zadávací dokumentace</w:t>
      </w:r>
      <w:r w:rsidRPr="00FA4673">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A401C0">
      <w:pPr>
        <w:numPr>
          <w:ilvl w:val="0"/>
          <w:numId w:val="4"/>
        </w:numPr>
        <w:spacing w:after="60" w:line="240" w:lineRule="auto"/>
        <w:ind w:left="426" w:hanging="426"/>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AD37FD">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AD37FD">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A401C0">
      <w:pPr>
        <w:numPr>
          <w:ilvl w:val="0"/>
          <w:numId w:val="4"/>
        </w:numPr>
        <w:spacing w:after="60" w:line="240" w:lineRule="auto"/>
        <w:ind w:left="426" w:hanging="426"/>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AD37FD">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AD37FD">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AD37FD">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(IPSec, SSL) + RDP nebo RDP přístup (terminálová relace),</w:t>
      </w:r>
    </w:p>
    <w:p w14:paraId="632EC022" w14:textId="3DC3111A" w:rsidR="002923D5" w:rsidRDefault="00E6122C" w:rsidP="00AD37FD">
      <w:pPr>
        <w:pStyle w:val="Odstavecseseznamem"/>
        <w:numPr>
          <w:ilvl w:val="0"/>
          <w:numId w:val="8"/>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A401C0">
      <w:pPr>
        <w:numPr>
          <w:ilvl w:val="0"/>
          <w:numId w:val="10"/>
        </w:numPr>
        <w:spacing w:after="60" w:line="240" w:lineRule="auto"/>
        <w:ind w:left="426" w:hanging="426"/>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0DA8B9A1" w:rsidR="008B75AB" w:rsidRPr="009866DC" w:rsidRDefault="00E6122C" w:rsidP="00A401C0">
      <w:pPr>
        <w:numPr>
          <w:ilvl w:val="0"/>
          <w:numId w:val="10"/>
        </w:numPr>
        <w:spacing w:after="60" w:line="240" w:lineRule="auto"/>
        <w:ind w:left="426" w:hanging="426"/>
        <w:jc w:val="both"/>
      </w:pPr>
      <w:r w:rsidRPr="00A401C0">
        <w:rPr>
          <w:b/>
          <w:bCs/>
        </w:rPr>
        <w:t>Zhotovit</w:t>
      </w:r>
      <w:r w:rsidR="008B75AB" w:rsidRPr="00A401C0">
        <w:rPr>
          <w:b/>
          <w:bCs/>
        </w:rPr>
        <w:t>el se zavazuje provést dílo</w:t>
      </w:r>
      <w:r w:rsidR="008B75AB" w:rsidRPr="009866DC">
        <w:t xml:space="preserve"> </w:t>
      </w:r>
      <w:r w:rsidR="008B75AB" w:rsidRPr="00A401C0">
        <w:rPr>
          <w:b/>
          <w:bCs/>
        </w:rPr>
        <w:t xml:space="preserve">řádně </w:t>
      </w:r>
      <w:r w:rsidR="00351CC7" w:rsidRPr="00A401C0">
        <w:rPr>
          <w:b/>
          <w:bCs/>
        </w:rPr>
        <w:t xml:space="preserve">nejpozději do </w:t>
      </w:r>
      <w:r w:rsidR="00FA4673" w:rsidRPr="00A401C0">
        <w:rPr>
          <w:b/>
          <w:bCs/>
        </w:rPr>
        <w:t>4</w:t>
      </w:r>
      <w:r w:rsidR="00351CC7" w:rsidRPr="00A401C0">
        <w:rPr>
          <w:b/>
          <w:bCs/>
        </w:rPr>
        <w:t xml:space="preserve"> měsíců </w:t>
      </w:r>
      <w:r w:rsidR="00900D1A" w:rsidRPr="00A401C0">
        <w:rPr>
          <w:b/>
          <w:bCs/>
        </w:rPr>
        <w:t>ode dne nabytí</w:t>
      </w:r>
      <w:r w:rsidR="00900D1A" w:rsidRPr="009866DC">
        <w:t xml:space="preserve"> </w:t>
      </w:r>
      <w:r w:rsidR="00900D1A" w:rsidRPr="00A401C0">
        <w:rPr>
          <w:b/>
          <w:bCs/>
        </w:rPr>
        <w:t xml:space="preserve">účinnosti </w:t>
      </w:r>
      <w:r w:rsidR="00B067C8" w:rsidRPr="00A401C0">
        <w:rPr>
          <w:b/>
          <w:bCs/>
        </w:rPr>
        <w:t>Smlouv</w:t>
      </w:r>
      <w:r w:rsidR="008B75AB" w:rsidRPr="00A401C0">
        <w:rPr>
          <w:b/>
          <w:bCs/>
        </w:rPr>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w:t>
      </w:r>
      <w:r w:rsidR="00E41E4B" w:rsidRPr="00FA4673">
        <w:t xml:space="preserve">Objednateli do </w:t>
      </w:r>
      <w:r w:rsidR="00FA4673" w:rsidRPr="00FA4673">
        <w:t>2 týdnů</w:t>
      </w:r>
      <w:r w:rsidR="00B168CD" w:rsidRPr="00FA4673">
        <w:t xml:space="preserve"> </w:t>
      </w:r>
      <w:r w:rsidR="00E41E4B" w:rsidRPr="00FA4673">
        <w:t>od zahájení</w:t>
      </w:r>
      <w:r w:rsidR="00E41E4B" w:rsidRPr="009866DC">
        <w:t xml:space="preserve"> plnění díla, pokud se smluvní strany nedohodnou jinak.</w:t>
      </w:r>
    </w:p>
    <w:p w14:paraId="138DA026" w14:textId="3B45843B" w:rsidR="00BA50AB" w:rsidRPr="009866DC" w:rsidRDefault="00BA50AB" w:rsidP="00A401C0">
      <w:pPr>
        <w:numPr>
          <w:ilvl w:val="0"/>
          <w:numId w:val="10"/>
        </w:numPr>
        <w:spacing w:after="60" w:line="240" w:lineRule="auto"/>
        <w:ind w:left="426" w:hanging="426"/>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77777777" w:rsidR="00E41E4B" w:rsidRPr="00B168CD" w:rsidRDefault="00E41E4B" w:rsidP="00A401C0">
      <w:pPr>
        <w:numPr>
          <w:ilvl w:val="0"/>
          <w:numId w:val="10"/>
        </w:numPr>
        <w:spacing w:after="60" w:line="240" w:lineRule="auto"/>
        <w:ind w:left="426" w:hanging="426"/>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937B69">
      <w:pPr>
        <w:numPr>
          <w:ilvl w:val="0"/>
          <w:numId w:val="21"/>
        </w:numPr>
        <w:spacing w:after="60" w:line="240" w:lineRule="auto"/>
        <w:ind w:left="426" w:hanging="426"/>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F01453">
        <w:rPr>
          <w:b/>
          <w:bCs/>
          <w:highlight w:val="yellow"/>
        </w:rPr>
        <w:t>……</w:t>
      </w:r>
      <w:r w:rsidR="00DE3756" w:rsidRPr="00F01453">
        <w:rPr>
          <w:b/>
          <w:bCs/>
          <w:highlight w:val="yellow"/>
        </w:rPr>
        <w:t>……...</w:t>
      </w:r>
      <w:r w:rsidRPr="00F01453">
        <w:rPr>
          <w:b/>
          <w:bCs/>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w:t>
      </w:r>
      <w:r w:rsidR="00732482">
        <w:lastRenderedPageBreak/>
        <w:t xml:space="preserve">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F01453">
        <w:rPr>
          <w:b/>
          <w:bCs/>
          <w:highlight w:val="yellow"/>
        </w:rPr>
        <w:t>…</w:t>
      </w:r>
      <w:r w:rsidR="00732482" w:rsidRPr="00F01453">
        <w:rPr>
          <w:b/>
          <w:bCs/>
          <w:highlight w:val="yellow"/>
        </w:rPr>
        <w:t>……</w:t>
      </w:r>
      <w:r w:rsidR="00DE3756" w:rsidRPr="00F01453">
        <w:rPr>
          <w:b/>
          <w:bCs/>
          <w:highlight w:val="yellow"/>
        </w:rPr>
        <w:t>………</w:t>
      </w:r>
      <w:r w:rsidRPr="00F01453">
        <w:rPr>
          <w:b/>
          <w:bCs/>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937B69">
      <w:pPr>
        <w:numPr>
          <w:ilvl w:val="0"/>
          <w:numId w:val="21"/>
        </w:numPr>
        <w:spacing w:after="60" w:line="240" w:lineRule="auto"/>
        <w:ind w:left="426" w:hanging="426"/>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937B69">
      <w:pPr>
        <w:numPr>
          <w:ilvl w:val="0"/>
          <w:numId w:val="21"/>
        </w:numPr>
        <w:spacing w:after="60" w:line="240" w:lineRule="auto"/>
        <w:ind w:left="426" w:hanging="426"/>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92D33EA" w:rsidR="00467117" w:rsidRPr="00312DC5" w:rsidRDefault="00467117" w:rsidP="00937B69">
      <w:pPr>
        <w:numPr>
          <w:ilvl w:val="0"/>
          <w:numId w:val="21"/>
        </w:numPr>
        <w:spacing w:after="60" w:line="240" w:lineRule="auto"/>
        <w:ind w:left="426" w:hanging="426"/>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w:t>
      </w:r>
      <w:r w:rsidR="00937B69">
        <w:t>.</w:t>
      </w:r>
      <w:r w:rsidR="00782E47" w:rsidRPr="00312DC5">
        <w:t xml:space="preserve"> této Smlouvy.</w:t>
      </w:r>
      <w:r w:rsidRPr="00312DC5">
        <w:t xml:space="preserve"> </w:t>
      </w:r>
    </w:p>
    <w:p w14:paraId="0E3A1E70" w14:textId="2469C2C8" w:rsidR="00616E4A" w:rsidRPr="00312DC5" w:rsidRDefault="00616E4A" w:rsidP="0003318E">
      <w:pPr>
        <w:numPr>
          <w:ilvl w:val="0"/>
          <w:numId w:val="21"/>
        </w:numPr>
        <w:spacing w:after="60" w:line="240" w:lineRule="auto"/>
        <w:ind w:left="426" w:hanging="426"/>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03318E">
      <w:pPr>
        <w:numPr>
          <w:ilvl w:val="0"/>
          <w:numId w:val="21"/>
        </w:numPr>
        <w:spacing w:after="60" w:line="240" w:lineRule="auto"/>
        <w:ind w:left="426" w:hanging="426"/>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03318E">
      <w:pPr>
        <w:numPr>
          <w:ilvl w:val="0"/>
          <w:numId w:val="21"/>
        </w:numPr>
        <w:spacing w:after="60" w:line="240" w:lineRule="auto"/>
        <w:ind w:left="426" w:hanging="426"/>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03318E">
      <w:pPr>
        <w:numPr>
          <w:ilvl w:val="0"/>
          <w:numId w:val="21"/>
        </w:numPr>
        <w:spacing w:after="60" w:line="240" w:lineRule="auto"/>
        <w:ind w:left="426" w:hanging="426"/>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03318E">
      <w:pPr>
        <w:numPr>
          <w:ilvl w:val="0"/>
          <w:numId w:val="21"/>
        </w:numPr>
        <w:spacing w:after="60" w:line="240" w:lineRule="auto"/>
        <w:ind w:left="426" w:hanging="426"/>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03318E">
      <w:pPr>
        <w:numPr>
          <w:ilvl w:val="0"/>
          <w:numId w:val="21"/>
        </w:numPr>
        <w:spacing w:after="6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3" w:name="_Hlk510780551"/>
      <w:r w:rsidRPr="006C0D3A">
        <w:t>v</w:t>
      </w:r>
      <w:r w:rsidR="00906E1F">
        <w:t>e znění pozdějších předpisů</w:t>
      </w:r>
      <w:bookmarkEnd w:id="13"/>
      <w:r w:rsidRPr="006C0D3A">
        <w:t xml:space="preserve">. </w:t>
      </w:r>
    </w:p>
    <w:p w14:paraId="141BE62B" w14:textId="36B9FFB5" w:rsidR="00D53F86" w:rsidRDefault="00D53F86" w:rsidP="0003318E">
      <w:pPr>
        <w:numPr>
          <w:ilvl w:val="0"/>
          <w:numId w:val="21"/>
        </w:numPr>
        <w:spacing w:after="60" w:line="240" w:lineRule="auto"/>
        <w:ind w:left="426" w:hanging="426"/>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w:t>
      </w:r>
      <w:r w:rsidR="0003318E">
        <w:t>.</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03318E">
      <w:pPr>
        <w:numPr>
          <w:ilvl w:val="0"/>
          <w:numId w:val="21"/>
        </w:numPr>
        <w:spacing w:after="60" w:line="240" w:lineRule="auto"/>
        <w:ind w:left="426" w:hanging="426"/>
        <w:jc w:val="both"/>
      </w:pPr>
      <w:r w:rsidRPr="006C0D3A">
        <w:t>Zhotovit</w:t>
      </w:r>
      <w:r w:rsidR="00BE12E8" w:rsidRPr="006C0D3A">
        <w:t>el není oprávněn požadovat jakékoli zálohy.</w:t>
      </w:r>
    </w:p>
    <w:p w14:paraId="79D5DCB3" w14:textId="30BF8409" w:rsidR="00BE12E8" w:rsidRPr="00D21076" w:rsidRDefault="00BE12E8" w:rsidP="0003318E">
      <w:pPr>
        <w:numPr>
          <w:ilvl w:val="0"/>
          <w:numId w:val="21"/>
        </w:numPr>
        <w:spacing w:after="60" w:line="240" w:lineRule="auto"/>
        <w:ind w:left="426" w:hanging="426"/>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03318E">
      <w:pPr>
        <w:numPr>
          <w:ilvl w:val="0"/>
          <w:numId w:val="21"/>
        </w:numPr>
        <w:spacing w:after="60" w:line="240" w:lineRule="auto"/>
        <w:ind w:left="426" w:hanging="426"/>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BE2FDE7" w14:textId="77777777" w:rsidR="009F5010" w:rsidRPr="00BA50AB" w:rsidRDefault="009F5010" w:rsidP="00733EAF">
      <w:pPr>
        <w:spacing w:after="60" w:line="240" w:lineRule="auto"/>
        <w:jc w:val="both"/>
        <w:rPr>
          <w:highlight w:val="cyan"/>
        </w:rPr>
      </w:pPr>
    </w:p>
    <w:p w14:paraId="02BB3A32" w14:textId="51529793" w:rsidR="001140FF" w:rsidRPr="000054D4" w:rsidRDefault="001140FF" w:rsidP="00733EAF">
      <w:pPr>
        <w:pStyle w:val="Nadpis1"/>
        <w:keepLines w:val="0"/>
        <w:numPr>
          <w:ilvl w:val="0"/>
          <w:numId w:val="1"/>
        </w:numPr>
        <w:spacing w:before="0" w:after="6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9138A4">
      <w:pPr>
        <w:numPr>
          <w:ilvl w:val="0"/>
          <w:numId w:val="22"/>
        </w:numPr>
        <w:spacing w:after="60" w:line="240" w:lineRule="auto"/>
        <w:ind w:left="426" w:hanging="426"/>
        <w:jc w:val="both"/>
      </w:pPr>
      <w:bookmarkStart w:id="14"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4"/>
    <w:p w14:paraId="0BD98741" w14:textId="475441B4" w:rsidR="00480FF6" w:rsidRPr="00B168CD" w:rsidRDefault="00480FF6"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9138A4">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9138A4">
      <w:pPr>
        <w:pStyle w:val="Odstavecseseznamem"/>
        <w:numPr>
          <w:ilvl w:val="0"/>
          <w:numId w:val="22"/>
        </w:numPr>
        <w:spacing w:before="0" w:line="240" w:lineRule="auto"/>
        <w:ind w:left="426" w:hanging="426"/>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9138A4">
      <w:pPr>
        <w:pStyle w:val="Odstavecseseznamem"/>
        <w:numPr>
          <w:ilvl w:val="0"/>
          <w:numId w:val="22"/>
        </w:numPr>
        <w:spacing w:before="0" w:line="240" w:lineRule="auto"/>
        <w:ind w:left="426" w:hanging="426"/>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9138A4">
      <w:pPr>
        <w:pStyle w:val="Odstavecseseznamem"/>
        <w:numPr>
          <w:ilvl w:val="0"/>
          <w:numId w:val="22"/>
        </w:numPr>
        <w:spacing w:before="0" w:line="240" w:lineRule="auto"/>
        <w:ind w:left="426" w:hanging="426"/>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9138A4">
      <w:pPr>
        <w:pStyle w:val="Odstavecseseznamem"/>
        <w:numPr>
          <w:ilvl w:val="0"/>
          <w:numId w:val="22"/>
        </w:numPr>
        <w:spacing w:before="0" w:line="240" w:lineRule="auto"/>
        <w:ind w:left="426" w:hanging="426"/>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9138A4">
      <w:pPr>
        <w:pStyle w:val="Odstavecseseznamem"/>
        <w:numPr>
          <w:ilvl w:val="0"/>
          <w:numId w:val="22"/>
        </w:numPr>
        <w:spacing w:before="0" w:line="240" w:lineRule="auto"/>
        <w:ind w:left="426" w:hanging="423"/>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77F4E59" w14:textId="77777777" w:rsidR="00CF2E23" w:rsidRPr="00CF2E23" w:rsidRDefault="00CF2E23" w:rsidP="00743F27">
      <w:pPr>
        <w:pStyle w:val="Odstavecseseznamem"/>
        <w:numPr>
          <w:ilvl w:val="0"/>
          <w:numId w:val="22"/>
        </w:numPr>
        <w:spacing w:line="240" w:lineRule="auto"/>
        <w:ind w:left="426" w:hanging="426"/>
        <w:rPr>
          <w:sz w:val="22"/>
          <w:szCs w:val="22"/>
        </w:rPr>
      </w:pPr>
      <w:bookmarkStart w:id="15" w:name="_Hlk211841228"/>
      <w:r w:rsidRPr="00CF2E23">
        <w:rPr>
          <w:sz w:val="22"/>
          <w:szCs w:val="22"/>
        </w:rPr>
        <w:t xml:space="preserve">Dodávka nebo její část </w:t>
      </w:r>
      <w:r w:rsidRPr="00CF2E23">
        <w:rPr>
          <w:sz w:val="22"/>
          <w:szCs w:val="22"/>
          <w:highlight w:val="yellow"/>
        </w:rPr>
        <w:t>bude/nebude</w:t>
      </w:r>
      <w:r w:rsidRPr="00CF2E23">
        <w:rPr>
          <w:sz w:val="22"/>
          <w:szCs w:val="22"/>
        </w:rPr>
        <w:t xml:space="preserve"> plněna formou poddodávky.</w:t>
      </w:r>
    </w:p>
    <w:p w14:paraId="59ED826C" w14:textId="77777777" w:rsidR="00CF2E23" w:rsidRPr="00743F27" w:rsidRDefault="00CF2E23" w:rsidP="00743F27">
      <w:pPr>
        <w:pStyle w:val="Odstavecseseznamem"/>
        <w:spacing w:after="120" w:line="240" w:lineRule="auto"/>
        <w:ind w:left="425"/>
        <w:contextualSpacing w:val="0"/>
        <w:rPr>
          <w:i/>
          <w:iCs/>
          <w:sz w:val="22"/>
          <w:szCs w:val="22"/>
        </w:rPr>
      </w:pPr>
      <w:r w:rsidRPr="00743F27">
        <w:rPr>
          <w:i/>
          <w:iCs/>
          <w:sz w:val="22"/>
          <w:szCs w:val="22"/>
        </w:rPr>
        <w:lastRenderedPageBreak/>
        <w:t>Pokud bude část dodávky zboží dle této smlouvy plněna formou poddodávky, Prodávající závazně uvádí identifikační údaje dotčeného poddodavatele a specifikaci části dodávky zboží, která bude plněna formou poddodávky:</w:t>
      </w:r>
    </w:p>
    <w:p w14:paraId="07B15E20" w14:textId="77777777" w:rsidR="00CF2E23" w:rsidRPr="00CF2E23" w:rsidRDefault="00CF2E23" w:rsidP="00743F27">
      <w:pPr>
        <w:pStyle w:val="Odstavecseseznamem"/>
        <w:spacing w:line="240" w:lineRule="auto"/>
        <w:ind w:left="426"/>
        <w:rPr>
          <w:sz w:val="22"/>
          <w:szCs w:val="22"/>
        </w:rPr>
      </w:pPr>
      <w:r w:rsidRPr="00CF2E23">
        <w:rPr>
          <w:sz w:val="22"/>
          <w:szCs w:val="22"/>
        </w:rPr>
        <w:t>…………………………………………………………………………………………………………………………………………………………...</w:t>
      </w:r>
    </w:p>
    <w:p w14:paraId="2D8286F2" w14:textId="2F097972" w:rsidR="00BB2182" w:rsidRPr="00743F27" w:rsidRDefault="00CF2E23" w:rsidP="00743F27">
      <w:pPr>
        <w:pStyle w:val="Odstavecseseznamem"/>
        <w:spacing w:before="0" w:line="240" w:lineRule="auto"/>
        <w:ind w:left="426"/>
        <w:contextualSpacing w:val="0"/>
        <w:rPr>
          <w:i/>
          <w:iCs/>
          <w:sz w:val="22"/>
          <w:szCs w:val="22"/>
        </w:rPr>
      </w:pPr>
      <w:r w:rsidRPr="00743F27">
        <w:rPr>
          <w:i/>
          <w:iCs/>
          <w:sz w:val="22"/>
          <w:szCs w:val="22"/>
        </w:rPr>
        <w:t>Případná změna poddodavatele dle této smlouvy podléhá předchozímu písemnému souhlasu ze strany Kupujícího.</w:t>
      </w:r>
    </w:p>
    <w:bookmarkEnd w:id="15"/>
    <w:p w14:paraId="55E85749" w14:textId="6977A367" w:rsidR="00BE12E8" w:rsidRPr="00B168CD" w:rsidRDefault="00E6122C" w:rsidP="00377DE3">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Default="00BE12E8" w:rsidP="00377DE3">
      <w:pPr>
        <w:pStyle w:val="Odstavecseseznamem"/>
        <w:numPr>
          <w:ilvl w:val="0"/>
          <w:numId w:val="22"/>
        </w:numPr>
        <w:tabs>
          <w:tab w:val="left" w:pos="0"/>
        </w:tabs>
        <w:spacing w:before="0" w:line="240" w:lineRule="auto"/>
        <w:ind w:left="426" w:hanging="426"/>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4DF6DFED" w14:textId="77777777" w:rsidR="00733EAF" w:rsidRPr="00B168CD" w:rsidRDefault="00733EAF" w:rsidP="00733EAF">
      <w:pPr>
        <w:pStyle w:val="Odstavecseseznamem"/>
        <w:tabs>
          <w:tab w:val="left" w:pos="0"/>
        </w:tabs>
        <w:spacing w:before="0" w:line="240" w:lineRule="auto"/>
        <w:ind w:left="357"/>
        <w:contextualSpacing w:val="0"/>
        <w:rPr>
          <w:sz w:val="22"/>
          <w:szCs w:val="22"/>
        </w:rPr>
      </w:pPr>
    </w:p>
    <w:p w14:paraId="604F15BE" w14:textId="0A9541FC" w:rsidR="00BE12E8" w:rsidRPr="003007B4" w:rsidRDefault="00BE12E8"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Převzetí díla</w:t>
      </w:r>
    </w:p>
    <w:p w14:paraId="5501FEA7" w14:textId="00D4A00D" w:rsidR="00BE12E8" w:rsidRPr="00D21076" w:rsidRDefault="00BE12E8" w:rsidP="004E0A2F">
      <w:pPr>
        <w:numPr>
          <w:ilvl w:val="0"/>
          <w:numId w:val="12"/>
        </w:numPr>
        <w:spacing w:after="60" w:line="240" w:lineRule="auto"/>
        <w:ind w:left="426" w:hanging="426"/>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w:t>
      </w:r>
      <w:r w:rsidR="004E0A2F">
        <w:t>.</w:t>
      </w:r>
      <w:r w:rsidR="0088513B" w:rsidRPr="006E74C8">
        <w:t xml:space="preserve"> této</w:t>
      </w:r>
      <w:r w:rsidR="00E6122C">
        <w:t xml:space="preserve"> </w:t>
      </w:r>
      <w:r w:rsidR="00B067C8">
        <w:t>Smlouv</w:t>
      </w:r>
      <w:r w:rsidRPr="006E74C8">
        <w:t>y.</w:t>
      </w:r>
    </w:p>
    <w:p w14:paraId="48932455" w14:textId="047B7E15" w:rsidR="00BE12E8" w:rsidRPr="00D21076" w:rsidRDefault="00E6122C" w:rsidP="004E0A2F">
      <w:pPr>
        <w:numPr>
          <w:ilvl w:val="0"/>
          <w:numId w:val="12"/>
        </w:numPr>
        <w:spacing w:after="60" w:line="240" w:lineRule="auto"/>
        <w:ind w:left="426" w:hanging="426"/>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4E0A2F">
      <w:pPr>
        <w:numPr>
          <w:ilvl w:val="0"/>
          <w:numId w:val="12"/>
        </w:numPr>
        <w:spacing w:after="60" w:line="240" w:lineRule="auto"/>
        <w:ind w:left="426" w:hanging="426"/>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4E0A2F">
      <w:pPr>
        <w:pStyle w:val="Odstavecseseznamem"/>
        <w:numPr>
          <w:ilvl w:val="0"/>
          <w:numId w:val="12"/>
        </w:numPr>
        <w:spacing w:before="0" w:line="240" w:lineRule="auto"/>
        <w:ind w:left="426" w:hanging="426"/>
        <w:contextualSpacing w:val="0"/>
      </w:pPr>
      <w:r w:rsidRPr="00613308">
        <w:t>Protokolárním předáním díla se rozumí</w:t>
      </w:r>
      <w:r w:rsidR="00613308" w:rsidRPr="00613308">
        <w:t>:</w:t>
      </w:r>
    </w:p>
    <w:p w14:paraId="6484E2C5" w14:textId="13515EB2" w:rsidR="00613308" w:rsidRDefault="0088513B" w:rsidP="00AD37FD">
      <w:pPr>
        <w:pStyle w:val="Odstavecseseznamem"/>
        <w:numPr>
          <w:ilvl w:val="0"/>
          <w:numId w:val="17"/>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AD37FD">
      <w:pPr>
        <w:pStyle w:val="Odstavecseseznamem"/>
        <w:numPr>
          <w:ilvl w:val="0"/>
          <w:numId w:val="17"/>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5DB1B318" w:rsidR="00613308" w:rsidRPr="00AA7B64" w:rsidRDefault="00613308" w:rsidP="00AD37FD">
      <w:pPr>
        <w:pStyle w:val="Odstavecseseznamem"/>
        <w:numPr>
          <w:ilvl w:val="0"/>
          <w:numId w:val="17"/>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AD37FD">
      <w:pPr>
        <w:pStyle w:val="Odstavecseseznamem"/>
        <w:numPr>
          <w:ilvl w:val="0"/>
          <w:numId w:val="17"/>
        </w:numPr>
        <w:spacing w:before="0" w:line="240" w:lineRule="auto"/>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6"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6"/>
    </w:p>
    <w:p w14:paraId="105F9077" w14:textId="39F767B3" w:rsidR="00467117" w:rsidRPr="00613308" w:rsidRDefault="00467117" w:rsidP="00FB1E02">
      <w:pPr>
        <w:pStyle w:val="Odstavecseseznamem"/>
        <w:numPr>
          <w:ilvl w:val="0"/>
          <w:numId w:val="12"/>
        </w:numPr>
        <w:spacing w:before="0" w:line="240" w:lineRule="auto"/>
        <w:ind w:left="426" w:hanging="426"/>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FB1E02">
      <w:pPr>
        <w:pStyle w:val="Odstavecseseznamem"/>
        <w:numPr>
          <w:ilvl w:val="0"/>
          <w:numId w:val="12"/>
        </w:numPr>
        <w:spacing w:before="0" w:line="240" w:lineRule="auto"/>
        <w:ind w:left="426" w:hanging="426"/>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FB1E02">
      <w:pPr>
        <w:pStyle w:val="Odstavecseseznamem"/>
        <w:numPr>
          <w:ilvl w:val="0"/>
          <w:numId w:val="12"/>
        </w:numPr>
        <w:spacing w:before="0" w:line="240" w:lineRule="auto"/>
        <w:ind w:left="426" w:hanging="426"/>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7903252D" w14:textId="77777777" w:rsidR="00BE290D" w:rsidRDefault="00BE290D" w:rsidP="0010538B">
      <w:pPr>
        <w:spacing w:line="240" w:lineRule="auto"/>
      </w:pPr>
    </w:p>
    <w:p w14:paraId="35AB1CE2" w14:textId="77777777" w:rsidR="006869C6" w:rsidRPr="004A4DDF" w:rsidRDefault="006869C6" w:rsidP="009F5010">
      <w:pPr>
        <w:pStyle w:val="Nadpis1"/>
        <w:keepLines w:val="0"/>
        <w:numPr>
          <w:ilvl w:val="0"/>
          <w:numId w:val="1"/>
        </w:numPr>
        <w:spacing w:before="0" w:after="60" w:line="240" w:lineRule="auto"/>
        <w:ind w:left="357" w:hanging="357"/>
        <w:jc w:val="center"/>
        <w:rPr>
          <w:color w:val="2F5496" w:themeColor="accent1" w:themeShade="BF"/>
        </w:rPr>
      </w:pPr>
      <w:bookmarkStart w:id="17" w:name="_Hlk511033950"/>
      <w:r w:rsidRPr="004A4DDF">
        <w:rPr>
          <w:color w:val="2F5496" w:themeColor="accent1" w:themeShade="BF"/>
        </w:rPr>
        <w:t>Ochrana softwarových prostředků</w:t>
      </w:r>
    </w:p>
    <w:p w14:paraId="269D8D0D" w14:textId="372125BB" w:rsidR="005E0ECC" w:rsidRPr="00BE290D" w:rsidRDefault="00BE290D" w:rsidP="00FB1E02">
      <w:pPr>
        <w:numPr>
          <w:ilvl w:val="0"/>
          <w:numId w:val="30"/>
        </w:numPr>
        <w:spacing w:after="60" w:line="240" w:lineRule="auto"/>
        <w:ind w:left="426" w:hanging="426"/>
        <w:jc w:val="both"/>
        <w:rPr>
          <w:noProof/>
          <w:color w:val="EE0000"/>
          <w:highlight w:val="yellow"/>
        </w:rPr>
      </w:pPr>
      <w:bookmarkStart w:id="18" w:name="_Hlk211841409"/>
      <w:bookmarkStart w:id="19" w:name="_Hlk511370365"/>
      <w:bookmarkStart w:id="20" w:name="_Hlk514651767"/>
      <w:bookmarkStart w:id="21" w:name="_Hlk514651577"/>
      <w:bookmarkEnd w:id="17"/>
      <w:r w:rsidRPr="00BE290D">
        <w:rPr>
          <w:noProof/>
          <w:color w:val="EE0000"/>
          <w:highlight w:val="yellow"/>
        </w:rPr>
        <w:t xml:space="preserve">Tento </w:t>
      </w:r>
      <w:bookmarkStart w:id="22" w:name="_Hlk211841901"/>
      <w:r w:rsidRPr="00BE290D">
        <w:rPr>
          <w:noProof/>
          <w:color w:val="EE0000"/>
          <w:highlight w:val="yellow"/>
        </w:rPr>
        <w:t xml:space="preserve">bod je povinnen zpracovat </w:t>
      </w:r>
      <w:r w:rsidR="005E0ECC" w:rsidRPr="00BE290D">
        <w:rPr>
          <w:noProof/>
          <w:color w:val="EE0000"/>
          <w:highlight w:val="yellow"/>
        </w:rPr>
        <w:t xml:space="preserve">Zhotovitel </w:t>
      </w:r>
      <w:r w:rsidRPr="00BE290D">
        <w:rPr>
          <w:noProof/>
          <w:color w:val="EE0000"/>
          <w:highlight w:val="yellow"/>
        </w:rPr>
        <w:t>tak, aby byl jasně definován právní statut dodávaných softwarových produktů dle licenčního práva a autorského zákona.</w:t>
      </w:r>
      <w:r w:rsidR="005E0ECC" w:rsidRPr="00BE290D">
        <w:rPr>
          <w:noProof/>
          <w:color w:val="EE0000"/>
          <w:highlight w:val="yellow"/>
        </w:rPr>
        <w:t xml:space="preserve"> </w:t>
      </w:r>
      <w:bookmarkEnd w:id="22"/>
    </w:p>
    <w:bookmarkEnd w:id="18"/>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lastRenderedPageBreak/>
        <w:t xml:space="preserve">např.: </w:t>
      </w:r>
      <w:r w:rsidRPr="00EC6961">
        <w:rPr>
          <w:noProof/>
          <w:color w:val="7F7F7F" w:themeColor="text1" w:themeTint="80"/>
          <w:highlight w:val="yellow"/>
        </w:rPr>
        <w:t xml:space="preserve">Zhotovitel </w:t>
      </w:r>
      <w:bookmarkStart w:id="23"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9"/>
      <w:r w:rsidRPr="00EC6961">
        <w:rPr>
          <w:noProof/>
          <w:color w:val="7F7F7F" w:themeColor="text1" w:themeTint="80"/>
          <w:highlight w:val="yellow"/>
        </w:rPr>
        <w:t>nebo ……Zhotovitel uvede jiný důvod ….</w:t>
      </w:r>
    </w:p>
    <w:bookmarkEnd w:id="20"/>
    <w:bookmarkEnd w:id="23"/>
    <w:p w14:paraId="33F6F940" w14:textId="298D8EDA" w:rsidR="00900D1A" w:rsidRPr="00605F50" w:rsidRDefault="00900D1A" w:rsidP="00FB1E02">
      <w:pPr>
        <w:numPr>
          <w:ilvl w:val="0"/>
          <w:numId w:val="30"/>
        </w:numPr>
        <w:spacing w:after="60" w:line="240" w:lineRule="auto"/>
        <w:ind w:left="426" w:hanging="426"/>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FB1E02">
      <w:pPr>
        <w:numPr>
          <w:ilvl w:val="0"/>
          <w:numId w:val="30"/>
        </w:numPr>
        <w:spacing w:after="60" w:line="240" w:lineRule="auto"/>
        <w:ind w:left="426" w:hanging="426"/>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AD37FD">
      <w:pPr>
        <w:numPr>
          <w:ilvl w:val="0"/>
          <w:numId w:val="28"/>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AD37FD">
      <w:pPr>
        <w:numPr>
          <w:ilvl w:val="0"/>
          <w:numId w:val="28"/>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AD37FD">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FB1E02">
      <w:pPr>
        <w:spacing w:after="60" w:line="240" w:lineRule="auto"/>
        <w:ind w:left="426"/>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FB1E02">
      <w:pPr>
        <w:numPr>
          <w:ilvl w:val="0"/>
          <w:numId w:val="30"/>
        </w:numPr>
        <w:spacing w:after="60" w:line="240" w:lineRule="auto"/>
        <w:ind w:left="426" w:hanging="426"/>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21"/>
    <w:p w14:paraId="27F99002" w14:textId="7238C0E8" w:rsidR="00BE12E8" w:rsidRPr="00640A13" w:rsidRDefault="00DC2159" w:rsidP="00AD37FD">
      <w:pPr>
        <w:pStyle w:val="Nadpis1"/>
        <w:keepLines w:val="0"/>
        <w:numPr>
          <w:ilvl w:val="0"/>
          <w:numId w:val="31"/>
        </w:numPr>
        <w:spacing w:before="0" w:after="6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FB1E02">
      <w:pPr>
        <w:numPr>
          <w:ilvl w:val="0"/>
          <w:numId w:val="13"/>
        </w:numPr>
        <w:spacing w:after="60" w:line="240" w:lineRule="auto"/>
        <w:ind w:left="426" w:hanging="426"/>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AD37FD">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FB1E02">
      <w:pPr>
        <w:numPr>
          <w:ilvl w:val="0"/>
          <w:numId w:val="14"/>
        </w:numPr>
        <w:spacing w:after="60" w:line="240" w:lineRule="auto"/>
        <w:ind w:left="426" w:hanging="426"/>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FB1E02">
      <w:pPr>
        <w:numPr>
          <w:ilvl w:val="0"/>
          <w:numId w:val="14"/>
        </w:numPr>
        <w:spacing w:after="60" w:line="240" w:lineRule="auto"/>
        <w:ind w:left="426" w:hanging="426"/>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FB1E02">
      <w:pPr>
        <w:numPr>
          <w:ilvl w:val="0"/>
          <w:numId w:val="14"/>
        </w:numPr>
        <w:spacing w:after="60" w:line="240" w:lineRule="auto"/>
        <w:ind w:left="426" w:hanging="426"/>
        <w:jc w:val="both"/>
      </w:pPr>
      <w:bookmarkStart w:id="24"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2F24B9E1" w:rsidR="009F5010" w:rsidRDefault="00BE12E8" w:rsidP="00FB1E02">
      <w:pPr>
        <w:numPr>
          <w:ilvl w:val="0"/>
          <w:numId w:val="14"/>
        </w:numPr>
        <w:spacing w:after="60" w:line="240" w:lineRule="auto"/>
        <w:ind w:left="426" w:hanging="426"/>
        <w:jc w:val="both"/>
      </w:pPr>
      <w:bookmarkStart w:id="25" w:name="_Hlk510775015"/>
      <w:bookmarkEnd w:id="24"/>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25"/>
    </w:p>
    <w:p w14:paraId="076EE1F3" w14:textId="77777777" w:rsidR="00C44165" w:rsidRPr="001512E5" w:rsidRDefault="00C44165" w:rsidP="00C44165">
      <w:pPr>
        <w:spacing w:after="60" w:line="240" w:lineRule="auto"/>
        <w:ind w:left="360"/>
        <w:jc w:val="both"/>
      </w:pPr>
    </w:p>
    <w:p w14:paraId="34AA6F2A" w14:textId="390A71A3" w:rsidR="00BE12E8" w:rsidRPr="00217056" w:rsidRDefault="00DC2159" w:rsidP="00AD37FD">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FB1E02">
      <w:pPr>
        <w:numPr>
          <w:ilvl w:val="0"/>
          <w:numId w:val="15"/>
        </w:numPr>
        <w:spacing w:after="60" w:line="240" w:lineRule="auto"/>
        <w:ind w:left="426" w:hanging="426"/>
        <w:jc w:val="both"/>
      </w:pPr>
      <w:bookmarkStart w:id="26"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AD37FD">
      <w:pPr>
        <w:pStyle w:val="Odstavecseseznamem"/>
        <w:numPr>
          <w:ilvl w:val="0"/>
          <w:numId w:val="24"/>
        </w:numPr>
        <w:spacing w:before="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AD37FD">
      <w:pPr>
        <w:pStyle w:val="Odstavecseseznamem"/>
        <w:numPr>
          <w:ilvl w:val="0"/>
          <w:numId w:val="24"/>
        </w:numPr>
        <w:spacing w:before="0" w:line="240" w:lineRule="auto"/>
        <w:ind w:left="765" w:hanging="357"/>
        <w:contextualSpacing w:val="0"/>
      </w:pPr>
      <w:r w:rsidRPr="0080441F">
        <w:lastRenderedPageBreak/>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FB1E02">
      <w:pPr>
        <w:numPr>
          <w:ilvl w:val="0"/>
          <w:numId w:val="15"/>
        </w:numPr>
        <w:spacing w:after="60" w:line="240" w:lineRule="auto"/>
        <w:ind w:left="426" w:hanging="426"/>
        <w:jc w:val="both"/>
      </w:pPr>
      <w:bookmarkStart w:id="27"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AD37FD">
      <w:pPr>
        <w:pStyle w:val="Odstavecseseznamem"/>
        <w:numPr>
          <w:ilvl w:val="0"/>
          <w:numId w:val="24"/>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AD37FD">
      <w:pPr>
        <w:pStyle w:val="Odstavecseseznamem"/>
        <w:numPr>
          <w:ilvl w:val="0"/>
          <w:numId w:val="24"/>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AD37FD">
      <w:pPr>
        <w:pStyle w:val="Odstavecseseznamem"/>
        <w:numPr>
          <w:ilvl w:val="0"/>
          <w:numId w:val="24"/>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AD37FD">
      <w:pPr>
        <w:pStyle w:val="Odstavecseseznamem"/>
        <w:numPr>
          <w:ilvl w:val="0"/>
          <w:numId w:val="24"/>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7"/>
    <w:p w14:paraId="00928D7D" w14:textId="38912681" w:rsidR="00D72261" w:rsidRPr="00A743BF" w:rsidRDefault="00D72261" w:rsidP="00FB1E02">
      <w:pPr>
        <w:numPr>
          <w:ilvl w:val="0"/>
          <w:numId w:val="15"/>
        </w:numPr>
        <w:spacing w:after="60" w:line="240" w:lineRule="auto"/>
        <w:ind w:left="426" w:hanging="426"/>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8" w:name="_Ref338775738"/>
      <w:r w:rsidRPr="00A743BF">
        <w:t xml:space="preserve"> Jiná použití nejsou bez písemného svolení Objednatele přípustná.</w:t>
      </w:r>
      <w:bookmarkEnd w:id="28"/>
      <w:r w:rsidRPr="00A743BF">
        <w:t xml:space="preserve"> </w:t>
      </w:r>
    </w:p>
    <w:p w14:paraId="3CE44F89" w14:textId="2F311BB3" w:rsidR="00D72261" w:rsidRPr="0080441F" w:rsidRDefault="00D72261" w:rsidP="00FB1E02">
      <w:pPr>
        <w:numPr>
          <w:ilvl w:val="0"/>
          <w:numId w:val="15"/>
        </w:numPr>
        <w:spacing w:after="6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FB1E02">
      <w:pPr>
        <w:numPr>
          <w:ilvl w:val="0"/>
          <w:numId w:val="15"/>
        </w:numPr>
        <w:spacing w:after="60" w:line="240" w:lineRule="auto"/>
        <w:ind w:left="426" w:hanging="426"/>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FB1E02">
      <w:pPr>
        <w:numPr>
          <w:ilvl w:val="0"/>
          <w:numId w:val="15"/>
        </w:numPr>
        <w:spacing w:after="60" w:line="240" w:lineRule="auto"/>
        <w:ind w:left="426" w:hanging="426"/>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FB1E02">
      <w:pPr>
        <w:numPr>
          <w:ilvl w:val="0"/>
          <w:numId w:val="15"/>
        </w:numPr>
        <w:spacing w:after="60" w:line="240" w:lineRule="auto"/>
        <w:ind w:left="426" w:hanging="426"/>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FB1E02">
      <w:pPr>
        <w:numPr>
          <w:ilvl w:val="0"/>
          <w:numId w:val="15"/>
        </w:numPr>
        <w:spacing w:after="60" w:line="240" w:lineRule="auto"/>
        <w:ind w:left="426" w:hanging="426"/>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FB1E02">
      <w:pPr>
        <w:numPr>
          <w:ilvl w:val="0"/>
          <w:numId w:val="15"/>
        </w:numPr>
        <w:spacing w:after="60" w:line="240" w:lineRule="auto"/>
        <w:ind w:left="426" w:hanging="426"/>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FB1E02">
      <w:pPr>
        <w:numPr>
          <w:ilvl w:val="0"/>
          <w:numId w:val="15"/>
        </w:numPr>
        <w:spacing w:after="60" w:line="240" w:lineRule="auto"/>
        <w:ind w:left="426" w:hanging="426"/>
        <w:jc w:val="both"/>
      </w:pPr>
      <w:r w:rsidRPr="00A743BF">
        <w:t>Povinnost zachovávat mlčenlivost uvedenou v tomto čl</w:t>
      </w:r>
      <w:r w:rsidR="00743B30">
        <w:t>ánku</w:t>
      </w:r>
      <w:r w:rsidRPr="00A743BF">
        <w:t xml:space="preserve"> se nevztahuje na informace:</w:t>
      </w:r>
    </w:p>
    <w:p w14:paraId="619C496F" w14:textId="45203AA4" w:rsidR="00BE12E8" w:rsidRPr="00DD7985" w:rsidRDefault="00BE12E8" w:rsidP="00AD37FD">
      <w:pPr>
        <w:pStyle w:val="Odstavecseseznamem"/>
        <w:numPr>
          <w:ilvl w:val="0"/>
          <w:numId w:val="17"/>
        </w:numPr>
        <w:spacing w:before="0" w:line="240" w:lineRule="auto"/>
        <w:contextualSpacing w:val="0"/>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AD37FD">
      <w:pPr>
        <w:pStyle w:val="Odstavecseseznamem"/>
        <w:numPr>
          <w:ilvl w:val="0"/>
          <w:numId w:val="17"/>
        </w:numPr>
        <w:spacing w:before="0" w:line="240" w:lineRule="auto"/>
        <w:contextualSpacing w:val="0"/>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AD37FD">
      <w:pPr>
        <w:pStyle w:val="Odstavecseseznamem"/>
        <w:numPr>
          <w:ilvl w:val="0"/>
          <w:numId w:val="17"/>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AD37FD">
      <w:pPr>
        <w:pStyle w:val="Odstavecseseznamem"/>
        <w:numPr>
          <w:ilvl w:val="0"/>
          <w:numId w:val="17"/>
        </w:numPr>
        <w:spacing w:before="0" w:line="240" w:lineRule="auto"/>
        <w:contextualSpacing w:val="0"/>
      </w:pPr>
      <w:r w:rsidRPr="00DD7985">
        <w:t>jejichž sdělení se vyžaduje ze zákona.</w:t>
      </w:r>
    </w:p>
    <w:p w14:paraId="38A660C6" w14:textId="6A81A9A9" w:rsidR="00BE12E8" w:rsidRDefault="00E6122C" w:rsidP="00FB1E02">
      <w:pPr>
        <w:numPr>
          <w:ilvl w:val="0"/>
          <w:numId w:val="15"/>
        </w:numPr>
        <w:spacing w:after="60" w:line="240" w:lineRule="auto"/>
        <w:ind w:left="426" w:hanging="426"/>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r w:rsidR="00BE12E8" w:rsidRPr="00A743BF">
        <w:lastRenderedPageBreak/>
        <w:t>neprokáž</w:t>
      </w:r>
      <w:r w:rsidR="00FB1E02">
        <w:t>ou</w:t>
      </w:r>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FB1E02">
      <w:pPr>
        <w:numPr>
          <w:ilvl w:val="0"/>
          <w:numId w:val="15"/>
        </w:numPr>
        <w:spacing w:after="240" w:line="240" w:lineRule="auto"/>
        <w:ind w:left="425" w:hanging="425"/>
        <w:jc w:val="both"/>
      </w:pPr>
      <w:r>
        <w:t>Smluvní strany se zavazují dodržovat povinnosti dle tohoto článku Smlouvy i po ukončení účinnosti Smlouvy.</w:t>
      </w:r>
    </w:p>
    <w:p w14:paraId="626000DB" w14:textId="530E5E18" w:rsidR="00702DCC" w:rsidRPr="00FD68CF" w:rsidRDefault="00702DCC" w:rsidP="00AD37FD">
      <w:pPr>
        <w:pStyle w:val="Nadpis1"/>
        <w:keepLines w:val="0"/>
        <w:numPr>
          <w:ilvl w:val="0"/>
          <w:numId w:val="31"/>
        </w:numPr>
        <w:spacing w:before="0" w:after="60" w:line="240" w:lineRule="auto"/>
        <w:ind w:left="357" w:hanging="357"/>
        <w:jc w:val="center"/>
        <w:rPr>
          <w:color w:val="2F5496" w:themeColor="accent1" w:themeShade="BF"/>
        </w:rPr>
      </w:pPr>
      <w:bookmarkStart w:id="29" w:name="_Hlk510510390"/>
      <w:bookmarkEnd w:id="26"/>
      <w:r>
        <w:rPr>
          <w:color w:val="2F5496" w:themeColor="accent1" w:themeShade="BF"/>
        </w:rPr>
        <w:t xml:space="preserve"> </w:t>
      </w:r>
      <w:bookmarkStart w:id="30" w:name="_Hlk511034185"/>
      <w:r w:rsidRPr="00FD68CF">
        <w:rPr>
          <w:color w:val="2F5496" w:themeColor="accent1" w:themeShade="BF"/>
        </w:rPr>
        <w:t>Duševní vlastnictví a obchodní tajemství</w:t>
      </w:r>
    </w:p>
    <w:p w14:paraId="180DB571" w14:textId="3C3B595C" w:rsidR="00702DCC" w:rsidRPr="00FD68CF" w:rsidRDefault="00702DCC" w:rsidP="00FB1E02">
      <w:pPr>
        <w:numPr>
          <w:ilvl w:val="0"/>
          <w:numId w:val="26"/>
        </w:numPr>
        <w:spacing w:after="60" w:line="240" w:lineRule="auto"/>
        <w:ind w:left="426" w:hanging="426"/>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FB1E02">
      <w:pPr>
        <w:numPr>
          <w:ilvl w:val="0"/>
          <w:numId w:val="26"/>
        </w:numPr>
        <w:spacing w:after="60" w:line="240" w:lineRule="auto"/>
        <w:ind w:left="426" w:hanging="426"/>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FB1E02">
      <w:pPr>
        <w:numPr>
          <w:ilvl w:val="0"/>
          <w:numId w:val="26"/>
        </w:numPr>
        <w:spacing w:after="60" w:line="240" w:lineRule="auto"/>
        <w:ind w:left="426" w:hanging="426"/>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FB1E02">
      <w:pPr>
        <w:numPr>
          <w:ilvl w:val="0"/>
          <w:numId w:val="26"/>
        </w:numPr>
        <w:spacing w:after="60" w:line="240" w:lineRule="auto"/>
        <w:ind w:left="426" w:hanging="426"/>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FB1E02">
      <w:pPr>
        <w:numPr>
          <w:ilvl w:val="0"/>
          <w:numId w:val="26"/>
        </w:numPr>
        <w:spacing w:after="60" w:line="240" w:lineRule="auto"/>
        <w:ind w:left="426" w:hanging="426"/>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FB1E02">
      <w:pPr>
        <w:numPr>
          <w:ilvl w:val="0"/>
          <w:numId w:val="26"/>
        </w:numPr>
        <w:spacing w:after="60" w:line="240" w:lineRule="auto"/>
        <w:ind w:left="426" w:hanging="426"/>
        <w:jc w:val="both"/>
      </w:pPr>
      <w:r>
        <w:t xml:space="preserve">Povinnost mlčenlivosti může být porušena pouze </w:t>
      </w:r>
      <w:bookmarkStart w:id="31" w:name="_Hlk510776831"/>
      <w:r>
        <w:t>v zákonem stanovených případech.</w:t>
      </w:r>
    </w:p>
    <w:bookmarkEnd w:id="31"/>
    <w:p w14:paraId="7EC97262" w14:textId="2606DE1E" w:rsidR="00702DCC" w:rsidRDefault="00702DCC" w:rsidP="00FB1E02">
      <w:pPr>
        <w:numPr>
          <w:ilvl w:val="0"/>
          <w:numId w:val="26"/>
        </w:numPr>
        <w:spacing w:after="240" w:line="240" w:lineRule="auto"/>
        <w:ind w:left="425" w:hanging="425"/>
        <w:jc w:val="both"/>
      </w:pPr>
      <w:r w:rsidRPr="00466624">
        <w:t>Smluvní strany se zavazují dodržovat povinnosti dle tohoto článku Smlouvy i po ukončení účinnosti Smlouvy.</w:t>
      </w:r>
    </w:p>
    <w:p w14:paraId="0C4FCF2B" w14:textId="3A584872" w:rsidR="00BE12E8" w:rsidRPr="00DD7985" w:rsidRDefault="000A5E6E" w:rsidP="00AD37FD">
      <w:pPr>
        <w:pStyle w:val="Nadpis1"/>
        <w:keepLines w:val="0"/>
        <w:numPr>
          <w:ilvl w:val="0"/>
          <w:numId w:val="31"/>
        </w:numPr>
        <w:spacing w:before="0" w:after="60" w:line="240" w:lineRule="auto"/>
        <w:ind w:left="357" w:hanging="357"/>
        <w:jc w:val="center"/>
        <w:rPr>
          <w:color w:val="2F5496" w:themeColor="accent1" w:themeShade="BF"/>
        </w:rPr>
      </w:pPr>
      <w:bookmarkStart w:id="32" w:name="_Hlk511034349"/>
      <w:bookmarkEnd w:id="29"/>
      <w:bookmarkEnd w:id="30"/>
      <w:r>
        <w:rPr>
          <w:color w:val="2F5496" w:themeColor="accent1" w:themeShade="BF"/>
        </w:rPr>
        <w:t xml:space="preserve"> </w:t>
      </w:r>
      <w:r w:rsidR="00BE12E8" w:rsidRPr="00DD7985">
        <w:rPr>
          <w:color w:val="2F5496" w:themeColor="accent1" w:themeShade="BF"/>
        </w:rPr>
        <w:t>Smluvní pokuty</w:t>
      </w:r>
    </w:p>
    <w:p w14:paraId="592D6B0D" w14:textId="0B4DF1C5" w:rsidR="00382B79" w:rsidRPr="008F5B02" w:rsidRDefault="002C7A70" w:rsidP="00FB1E02">
      <w:pPr>
        <w:numPr>
          <w:ilvl w:val="0"/>
          <w:numId w:val="16"/>
        </w:numPr>
        <w:spacing w:after="60" w:line="240" w:lineRule="auto"/>
        <w:ind w:left="426" w:hanging="426"/>
        <w:jc w:val="both"/>
      </w:pPr>
      <w:bookmarkStart w:id="33" w:name="_Hlk510513707"/>
      <w:r w:rsidRPr="008F5B02">
        <w:t xml:space="preserve">V případě prodlení </w:t>
      </w:r>
      <w:r w:rsidR="00E6122C" w:rsidRPr="008F5B02">
        <w:t>Zhotovit</w:t>
      </w:r>
      <w:r w:rsidR="00BE12E8" w:rsidRPr="008F5B02">
        <w:t>el</w:t>
      </w:r>
      <w:r w:rsidRPr="008F5B02">
        <w:t>e</w:t>
      </w:r>
      <w:r w:rsidR="00BE12E8" w:rsidRPr="008F5B02">
        <w:t xml:space="preserve"> s předáním části</w:t>
      </w:r>
      <w:r w:rsidR="00B0084F" w:rsidRPr="008F5B02">
        <w:t xml:space="preserve"> </w:t>
      </w:r>
      <w:r w:rsidR="00B067C8" w:rsidRPr="008F5B02">
        <w:t>díla</w:t>
      </w:r>
      <w:r w:rsidRPr="008F5B02">
        <w:t xml:space="preserve"> nebo s odstraněním vad či nedodělků specifikovaných v akceptačních protokolech dle</w:t>
      </w:r>
      <w:r w:rsidR="00B60988" w:rsidRPr="008F5B02">
        <w:t xml:space="preserve"> článku</w:t>
      </w:r>
      <w:r w:rsidRPr="008F5B02">
        <w:t xml:space="preserve"> 8</w:t>
      </w:r>
      <w:r w:rsidR="00F53B47" w:rsidRPr="008F5B02">
        <w:t>.</w:t>
      </w:r>
      <w:r w:rsidRPr="008F5B02">
        <w:t xml:space="preserve"> této Smlouvy oproti sjednané lhůtě, je</w:t>
      </w:r>
      <w:r w:rsidR="00BE12E8" w:rsidRPr="008F5B02">
        <w:t xml:space="preserve"> </w:t>
      </w:r>
      <w:r w:rsidR="00E6122C" w:rsidRPr="008F5B02">
        <w:t>Zhotovit</w:t>
      </w:r>
      <w:r w:rsidR="00BE12E8" w:rsidRPr="008F5B02">
        <w:t xml:space="preserve">el </w:t>
      </w:r>
      <w:r w:rsidRPr="008F5B02">
        <w:t xml:space="preserve">povinen </w:t>
      </w:r>
      <w:r w:rsidR="00BE12E8" w:rsidRPr="008F5B02">
        <w:t xml:space="preserve">zaplatit </w:t>
      </w:r>
      <w:r w:rsidR="00E6122C" w:rsidRPr="008F5B02">
        <w:t>Objednat</w:t>
      </w:r>
      <w:r w:rsidR="00BE12E8" w:rsidRPr="008F5B02">
        <w:t>eli smluvní pokutu ve výši 0,</w:t>
      </w:r>
      <w:r w:rsidR="009F5010" w:rsidRPr="008F5B02">
        <w:t>05</w:t>
      </w:r>
      <w:r w:rsidR="00C06770" w:rsidRPr="008F5B02">
        <w:t xml:space="preserve"> </w:t>
      </w:r>
      <w:r w:rsidR="00BE12E8" w:rsidRPr="008F5B02">
        <w:t>% z celkové</w:t>
      </w:r>
      <w:r w:rsidR="002048FB" w:rsidRPr="008F5B02">
        <w:t xml:space="preserve"> sjednané ceny díla </w:t>
      </w:r>
      <w:r w:rsidR="00922DE7" w:rsidRPr="008F5B02">
        <w:t>bez</w:t>
      </w:r>
      <w:r w:rsidR="002048FB" w:rsidRPr="008F5B02">
        <w:t xml:space="preserve"> DPH</w:t>
      </w:r>
      <w:r w:rsidR="00BE12E8" w:rsidRPr="008F5B02">
        <w:t xml:space="preserve"> za každý i započatý den prodlení. </w:t>
      </w:r>
    </w:p>
    <w:p w14:paraId="6A9A7061" w14:textId="2D564684" w:rsidR="00BE12E8" w:rsidRPr="008F5B02" w:rsidRDefault="00DD7985" w:rsidP="00FB1E02">
      <w:pPr>
        <w:numPr>
          <w:ilvl w:val="0"/>
          <w:numId w:val="16"/>
        </w:numPr>
        <w:spacing w:after="60" w:line="240" w:lineRule="auto"/>
        <w:ind w:left="426" w:hanging="426"/>
        <w:jc w:val="both"/>
      </w:pPr>
      <w:bookmarkStart w:id="34" w:name="_Hlk510511352"/>
      <w:bookmarkEnd w:id="33"/>
      <w:r w:rsidRPr="008F5B02">
        <w:t>V</w:t>
      </w:r>
      <w:r w:rsidR="00BE12E8" w:rsidRPr="008F5B02">
        <w:t xml:space="preserve"> případě prodlení </w:t>
      </w:r>
      <w:r w:rsidR="00E6122C" w:rsidRPr="008F5B02">
        <w:t>Objednat</w:t>
      </w:r>
      <w:r w:rsidR="00BE12E8" w:rsidRPr="008F5B02">
        <w:t>ele s </w:t>
      </w:r>
      <w:bookmarkStart w:id="35" w:name="_Hlk510511131"/>
      <w:r w:rsidR="009E3B75" w:rsidRPr="008F5B02">
        <w:t>úhradou jakéhokoliv peněžitého plnění dle této Smlouvy, je</w:t>
      </w:r>
      <w:r w:rsidR="00BE12E8" w:rsidRPr="008F5B02">
        <w:t xml:space="preserve"> </w:t>
      </w:r>
      <w:r w:rsidR="00E6122C" w:rsidRPr="008F5B02">
        <w:t>Objednat</w:t>
      </w:r>
      <w:r w:rsidR="00BE12E8" w:rsidRPr="008F5B02">
        <w:t xml:space="preserve">el povinen uhradit </w:t>
      </w:r>
      <w:r w:rsidR="00E6122C" w:rsidRPr="008F5B02">
        <w:t>Zhotovit</w:t>
      </w:r>
      <w:r w:rsidR="00BE12E8" w:rsidRPr="008F5B02">
        <w:t>eli úrok z prodlení</w:t>
      </w:r>
      <w:bookmarkEnd w:id="35"/>
      <w:r w:rsidR="00BE12E8" w:rsidRPr="008F5B02">
        <w:t xml:space="preserve"> ve výši 0,05</w:t>
      </w:r>
      <w:r w:rsidR="00C06770" w:rsidRPr="008F5B02">
        <w:t xml:space="preserve"> </w:t>
      </w:r>
      <w:r w:rsidR="00BE12E8" w:rsidRPr="008F5B02">
        <w:t xml:space="preserve">% z dlužné částky </w:t>
      </w:r>
      <w:bookmarkStart w:id="36" w:name="_Hlk510507603"/>
      <w:r w:rsidR="00BE12E8" w:rsidRPr="008F5B02">
        <w:t xml:space="preserve">za </w:t>
      </w:r>
      <w:r w:rsidR="002048FB" w:rsidRPr="008F5B02">
        <w:t xml:space="preserve">každý i započatý den </w:t>
      </w:r>
      <w:r w:rsidR="00BE12E8" w:rsidRPr="008F5B02">
        <w:t>prodlení</w:t>
      </w:r>
      <w:bookmarkEnd w:id="36"/>
      <w:r w:rsidR="008376F5" w:rsidRPr="008F5B02">
        <w:t xml:space="preserve">. Obě Smluvní strany sjednávají, že takto upravený úrok z prodlení je přiměřený. </w:t>
      </w:r>
    </w:p>
    <w:p w14:paraId="4E084808" w14:textId="18DC20C2" w:rsidR="00BE12E8" w:rsidRPr="00EC34F9" w:rsidRDefault="00BE12E8" w:rsidP="00FB1E02">
      <w:pPr>
        <w:numPr>
          <w:ilvl w:val="0"/>
          <w:numId w:val="16"/>
        </w:numPr>
        <w:spacing w:after="60" w:line="240" w:lineRule="auto"/>
        <w:ind w:left="426" w:hanging="426"/>
        <w:jc w:val="both"/>
      </w:pPr>
      <w:bookmarkStart w:id="37" w:name="_Hlk510511764"/>
      <w:bookmarkEnd w:id="3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8"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8"/>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7"/>
    <w:p w14:paraId="46FAD601" w14:textId="18ABED18" w:rsidR="00F96E93" w:rsidRPr="00EC34F9" w:rsidRDefault="00EC34F9" w:rsidP="00FB1E02">
      <w:pPr>
        <w:numPr>
          <w:ilvl w:val="0"/>
          <w:numId w:val="16"/>
        </w:numPr>
        <w:spacing w:after="60" w:line="240" w:lineRule="auto"/>
        <w:ind w:left="426" w:hanging="426"/>
        <w:jc w:val="both"/>
      </w:pPr>
      <w:r w:rsidRPr="00EC34F9">
        <w:t>V případě, že Zhotovitel v rozporu s odst. 16</w:t>
      </w:r>
      <w:r w:rsidR="00E84CCD">
        <w:t>.</w:t>
      </w:r>
      <w:r w:rsidRPr="00EC34F9">
        <w:t xml:space="preserve"> článku 7 této Smlouvy provede předem neodsouhlasenou změnu poddodavatele</w:t>
      </w:r>
      <w:r w:rsidR="008F5B02">
        <w:t xml:space="preserve">, </w:t>
      </w:r>
      <w:bookmarkStart w:id="39" w:name="_Hlk211842217"/>
      <w:r w:rsidR="008F5B02">
        <w:t>pracovníka poddodavatele</w:t>
      </w:r>
      <w:r w:rsidRPr="00EC34F9">
        <w:t xml:space="preserve"> </w:t>
      </w:r>
      <w:bookmarkEnd w:id="39"/>
      <w:r w:rsidRPr="00EC34F9">
        <w:t xml:space="preserve">nebo předem neodsouhlasené </w:t>
      </w:r>
      <w:r w:rsidRPr="00EC34F9">
        <w:lastRenderedPageBreak/>
        <w:t xml:space="preserve">přibrání nového poddodavatele, uhradí Zhotovitel Objednateli smluvní pokutu ve výši 100.000 </w:t>
      </w:r>
      <w:r w:rsidR="00713055">
        <w:t>K</w:t>
      </w:r>
      <w:r w:rsidRPr="00EC34F9">
        <w:t>č za každé takové porušení</w:t>
      </w:r>
      <w:r w:rsidR="00F96E93" w:rsidRPr="00EC34F9">
        <w:t>.</w:t>
      </w:r>
    </w:p>
    <w:p w14:paraId="2EC02C21" w14:textId="16B37B14" w:rsidR="00BE12E8" w:rsidRDefault="00EC34F9" w:rsidP="00FB1E02">
      <w:pPr>
        <w:numPr>
          <w:ilvl w:val="0"/>
          <w:numId w:val="16"/>
        </w:numPr>
        <w:spacing w:after="60" w:line="240" w:lineRule="auto"/>
        <w:ind w:left="426" w:hanging="426"/>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2</w:t>
      </w:r>
      <w:r w:rsidR="00E84CCD">
        <w:t>.</w:t>
      </w:r>
      <w:r>
        <w:t xml:space="preserve">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68793811" w:rsidR="00EC34F9" w:rsidRPr="008A4528" w:rsidRDefault="00EC34F9" w:rsidP="00FB1E02">
      <w:pPr>
        <w:numPr>
          <w:ilvl w:val="0"/>
          <w:numId w:val="16"/>
        </w:numPr>
        <w:spacing w:after="60" w:line="240" w:lineRule="auto"/>
        <w:ind w:left="426" w:hanging="426"/>
        <w:jc w:val="both"/>
      </w:pPr>
      <w:r w:rsidRPr="0058593F">
        <w:t xml:space="preserve">V případě, že Zhotovitel poruší </w:t>
      </w:r>
      <w:r>
        <w:t xml:space="preserve">jakýkoliv bezpečnostní požadavek uvedený v příloze č. 7 </w:t>
      </w:r>
      <w:r w:rsidRPr="0058593F">
        <w:t xml:space="preserve">této Smlouvy bude </w:t>
      </w:r>
      <w:r w:rsidR="00254E11" w:rsidRPr="00254E11">
        <w:t xml:space="preserve">Zhotovitel povinen zaplatit Objednateli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FB1E02">
      <w:pPr>
        <w:numPr>
          <w:ilvl w:val="0"/>
          <w:numId w:val="16"/>
        </w:numPr>
        <w:spacing w:after="60" w:line="240" w:lineRule="auto"/>
        <w:ind w:left="426" w:hanging="426"/>
        <w:jc w:val="both"/>
      </w:pPr>
      <w:bookmarkStart w:id="40"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FB1E02">
      <w:pPr>
        <w:numPr>
          <w:ilvl w:val="0"/>
          <w:numId w:val="16"/>
        </w:numPr>
        <w:spacing w:after="60" w:line="240" w:lineRule="auto"/>
        <w:ind w:left="426" w:hanging="426"/>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FB1E02">
      <w:pPr>
        <w:numPr>
          <w:ilvl w:val="0"/>
          <w:numId w:val="16"/>
        </w:numPr>
        <w:spacing w:after="60" w:line="240" w:lineRule="auto"/>
        <w:ind w:left="426" w:hanging="426"/>
        <w:jc w:val="both"/>
      </w:pPr>
      <w:bookmarkStart w:id="41" w:name="_Hlk510778708"/>
      <w:bookmarkEnd w:id="40"/>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FB1E02">
      <w:pPr>
        <w:numPr>
          <w:ilvl w:val="0"/>
          <w:numId w:val="16"/>
        </w:numPr>
        <w:spacing w:after="60" w:line="240" w:lineRule="auto"/>
        <w:ind w:left="426" w:hanging="426"/>
        <w:jc w:val="both"/>
      </w:pPr>
      <w:bookmarkStart w:id="42" w:name="_Hlk510778694"/>
      <w:bookmarkEnd w:id="41"/>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FB1E02">
      <w:pPr>
        <w:numPr>
          <w:ilvl w:val="0"/>
          <w:numId w:val="16"/>
        </w:numPr>
        <w:spacing w:after="60" w:line="240" w:lineRule="auto"/>
        <w:ind w:left="426" w:hanging="426"/>
        <w:jc w:val="both"/>
      </w:pPr>
      <w:bookmarkStart w:id="43" w:name="_Hlk509488369"/>
      <w:bookmarkEnd w:id="42"/>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E84CCD">
      <w:pPr>
        <w:numPr>
          <w:ilvl w:val="0"/>
          <w:numId w:val="16"/>
        </w:numPr>
        <w:spacing w:after="240" w:line="240" w:lineRule="auto"/>
        <w:ind w:left="425" w:hanging="425"/>
        <w:jc w:val="both"/>
      </w:pPr>
      <w:bookmarkStart w:id="44"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AD37FD">
      <w:pPr>
        <w:pStyle w:val="Nadpis1"/>
        <w:keepLines w:val="0"/>
        <w:numPr>
          <w:ilvl w:val="0"/>
          <w:numId w:val="31"/>
        </w:numPr>
        <w:spacing w:before="0" w:after="60" w:line="240" w:lineRule="auto"/>
        <w:ind w:left="357" w:hanging="357"/>
        <w:jc w:val="center"/>
        <w:rPr>
          <w:color w:val="2F5496" w:themeColor="accent1" w:themeShade="BF"/>
        </w:rPr>
      </w:pPr>
      <w:bookmarkStart w:id="45" w:name="_Hlk511034553"/>
      <w:bookmarkEnd w:id="32"/>
      <w:bookmarkEnd w:id="43"/>
      <w:bookmarkEnd w:id="44"/>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E84CCD">
      <w:pPr>
        <w:numPr>
          <w:ilvl w:val="0"/>
          <w:numId w:val="18"/>
        </w:numPr>
        <w:spacing w:after="60" w:line="240" w:lineRule="auto"/>
        <w:ind w:left="426" w:hanging="426"/>
        <w:jc w:val="both"/>
      </w:pPr>
      <w:bookmarkStart w:id="46" w:name="_Hlk510778903"/>
      <w:r w:rsidRPr="002043AC">
        <w:t>Smluvní strany se dohodly, že závazek ze smluvního vztahu zaniká v těchto případech:</w:t>
      </w:r>
    </w:p>
    <w:bookmarkEnd w:id="46"/>
    <w:p w14:paraId="62E81390" w14:textId="77777777" w:rsidR="00A53398" w:rsidRPr="00DD7985" w:rsidRDefault="00A53398" w:rsidP="00AD37FD">
      <w:pPr>
        <w:pStyle w:val="Odstavecseseznamem"/>
        <w:numPr>
          <w:ilvl w:val="0"/>
          <w:numId w:val="17"/>
        </w:numPr>
        <w:spacing w:before="0" w:line="240" w:lineRule="auto"/>
        <w:contextualSpacing w:val="0"/>
      </w:pPr>
      <w:r w:rsidRPr="00DD7985">
        <w:t>spln</w:t>
      </w:r>
      <w:r>
        <w:t>ěním všech závazků řádně a včas,</w:t>
      </w:r>
    </w:p>
    <w:p w14:paraId="7C436E2D" w14:textId="77777777" w:rsidR="00A53398" w:rsidRPr="005A4A51" w:rsidRDefault="00A53398" w:rsidP="00AD37FD">
      <w:pPr>
        <w:pStyle w:val="Odstavecseseznamem"/>
        <w:numPr>
          <w:ilvl w:val="0"/>
          <w:numId w:val="17"/>
        </w:numPr>
        <w:spacing w:before="0" w:line="240" w:lineRule="auto"/>
        <w:contextualSpacing w:val="0"/>
      </w:pPr>
      <w:bookmarkStart w:id="47" w:name="_Hlk510519080"/>
      <w:r w:rsidRPr="005A4A51">
        <w:t xml:space="preserve">vzájemnou dohodou smluvních stran </w:t>
      </w:r>
      <w:bookmarkStart w:id="48" w:name="_Hlk510519061"/>
      <w:r w:rsidRPr="005A4A51">
        <w:t>při vzájemném vyrovnání účelně vynaložených a prokazatelně doložených nákladů ke dni zániku Smlouvy</w:t>
      </w:r>
      <w:bookmarkEnd w:id="48"/>
      <w:r w:rsidRPr="005A4A51">
        <w:t xml:space="preserve">, </w:t>
      </w:r>
    </w:p>
    <w:p w14:paraId="41E69FA5" w14:textId="77777777" w:rsidR="00A53398" w:rsidRDefault="00A53398" w:rsidP="00AD37FD">
      <w:pPr>
        <w:pStyle w:val="Odrazka1zacislem"/>
        <w:numPr>
          <w:ilvl w:val="0"/>
          <w:numId w:val="27"/>
        </w:numPr>
        <w:spacing w:before="0"/>
        <w:rPr>
          <w:rFonts w:asciiTheme="minorHAnsi" w:hAnsiTheme="minorHAnsi"/>
          <w:sz w:val="22"/>
        </w:rPr>
      </w:pPr>
      <w:bookmarkStart w:id="49" w:name="_Hlk510519133"/>
      <w:bookmarkEnd w:id="47"/>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50" w:name="_Hlk510517802"/>
      <w:r w:rsidRPr="002043AC">
        <w:rPr>
          <w:rFonts w:asciiTheme="minorHAnsi" w:hAnsiTheme="minorHAnsi"/>
          <w:sz w:val="22"/>
        </w:rPr>
        <w:t xml:space="preserve"> </w:t>
      </w:r>
      <w:bookmarkStart w:id="51" w:name="_Hlk510519190"/>
      <w:bookmarkEnd w:id="49"/>
    </w:p>
    <w:p w14:paraId="47875AFA" w14:textId="77777777" w:rsidR="00A53398" w:rsidRPr="00A23200" w:rsidRDefault="00A53398" w:rsidP="00E84CCD">
      <w:pPr>
        <w:numPr>
          <w:ilvl w:val="0"/>
          <w:numId w:val="18"/>
        </w:numPr>
        <w:spacing w:after="60" w:line="240" w:lineRule="auto"/>
        <w:ind w:left="426" w:hanging="426"/>
        <w:jc w:val="both"/>
      </w:pPr>
      <w:bookmarkStart w:id="52" w:name="_Hlk510517281"/>
      <w:bookmarkEnd w:id="50"/>
      <w:bookmarkEnd w:id="51"/>
      <w:r w:rsidRPr="00A23200">
        <w:t>Za podstatné porušení Smlouvy se považuje</w:t>
      </w:r>
      <w:r>
        <w:t xml:space="preserve"> zejména</w:t>
      </w:r>
      <w:r w:rsidRPr="00A23200">
        <w:t>:</w:t>
      </w:r>
    </w:p>
    <w:p w14:paraId="2EBA0116" w14:textId="77777777" w:rsidR="00A53398" w:rsidRPr="005457E4" w:rsidRDefault="00A53398" w:rsidP="00AD37FD">
      <w:pPr>
        <w:pStyle w:val="Odstavecseseznamem"/>
        <w:numPr>
          <w:ilvl w:val="0"/>
          <w:numId w:val="32"/>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AD37FD">
      <w:pPr>
        <w:pStyle w:val="Odstavecseseznamem"/>
        <w:numPr>
          <w:ilvl w:val="0"/>
          <w:numId w:val="32"/>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AD37FD">
      <w:pPr>
        <w:pStyle w:val="Odstavecseseznamem"/>
        <w:numPr>
          <w:ilvl w:val="0"/>
          <w:numId w:val="32"/>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D37FD">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D37FD">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D37FD">
      <w:pPr>
        <w:pStyle w:val="Odstavecseseznamem"/>
        <w:numPr>
          <w:ilvl w:val="0"/>
          <w:numId w:val="3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4F3C64E0" w:rsidR="00A53398" w:rsidRPr="001158EE" w:rsidRDefault="00A53398" w:rsidP="00AD37FD">
      <w:pPr>
        <w:pStyle w:val="Odstavecseseznamem"/>
        <w:numPr>
          <w:ilvl w:val="0"/>
          <w:numId w:val="32"/>
        </w:numPr>
        <w:spacing w:before="0" w:line="240" w:lineRule="auto"/>
        <w:contextualSpacing w:val="0"/>
        <w:rPr>
          <w:sz w:val="22"/>
          <w:szCs w:val="22"/>
        </w:rPr>
      </w:pPr>
      <w:r w:rsidRPr="001158EE">
        <w:rPr>
          <w:sz w:val="22"/>
          <w:szCs w:val="22"/>
        </w:rPr>
        <w:t>v rozporu s odst. 16</w:t>
      </w:r>
      <w:r w:rsidR="00C26BC9" w:rsidRPr="001158EE">
        <w:rPr>
          <w:sz w:val="22"/>
          <w:szCs w:val="22"/>
        </w:rPr>
        <w:t>.</w:t>
      </w:r>
      <w:r w:rsidRPr="001158EE">
        <w:rPr>
          <w:sz w:val="22"/>
          <w:szCs w:val="22"/>
        </w:rPr>
        <w:t xml:space="preserve"> článku 7 této Smlouvy provedení předem neodsouhlasené změny poddodavatele nebo předem neodsouhlaseného přibrání nového poddodavatele,</w:t>
      </w:r>
    </w:p>
    <w:p w14:paraId="533B5CE2" w14:textId="77777777" w:rsidR="00A53398" w:rsidRPr="001158EE" w:rsidRDefault="00A53398" w:rsidP="00AD37FD">
      <w:pPr>
        <w:pStyle w:val="Odstavecseseznamem"/>
        <w:numPr>
          <w:ilvl w:val="0"/>
          <w:numId w:val="32"/>
        </w:numPr>
        <w:spacing w:before="0" w:line="240" w:lineRule="auto"/>
        <w:contextualSpacing w:val="0"/>
        <w:rPr>
          <w:sz w:val="22"/>
          <w:szCs w:val="22"/>
        </w:rPr>
      </w:pPr>
      <w:r w:rsidRPr="001158EE">
        <w:rPr>
          <w:sz w:val="22"/>
          <w:szCs w:val="22"/>
        </w:rPr>
        <w:lastRenderedPageBreak/>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27673A6C" w14:textId="77777777" w:rsidR="00A53398" w:rsidRDefault="00A53398" w:rsidP="00AD37FD">
      <w:pPr>
        <w:pStyle w:val="Odstavecseseznamem"/>
        <w:numPr>
          <w:ilvl w:val="0"/>
          <w:numId w:val="32"/>
        </w:numPr>
        <w:spacing w:before="0" w:line="240" w:lineRule="auto"/>
        <w:contextualSpacing w:val="0"/>
        <w:rPr>
          <w:sz w:val="22"/>
        </w:rPr>
      </w:pPr>
      <w:bookmarkStart w:id="53" w:name="_Hlk207181726"/>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bookmarkEnd w:id="53"/>
    <w:p w14:paraId="3E38FF6D" w14:textId="77777777" w:rsidR="00A53398" w:rsidRPr="00AD705C" w:rsidRDefault="00A53398" w:rsidP="00E84CCD">
      <w:pPr>
        <w:numPr>
          <w:ilvl w:val="0"/>
          <w:numId w:val="18"/>
        </w:numPr>
        <w:spacing w:after="60" w:line="240" w:lineRule="auto"/>
        <w:ind w:left="426" w:hanging="426"/>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E84CCD">
      <w:pPr>
        <w:numPr>
          <w:ilvl w:val="0"/>
          <w:numId w:val="18"/>
        </w:numPr>
        <w:spacing w:after="60" w:line="240" w:lineRule="auto"/>
        <w:ind w:left="426" w:hanging="426"/>
        <w:jc w:val="both"/>
      </w:pPr>
      <w:r w:rsidRPr="009F2373">
        <w:t>Odstoupení od Smlouvy se dále řídí ustanovením § 2001 a násl. OZ.</w:t>
      </w:r>
    </w:p>
    <w:p w14:paraId="78563422" w14:textId="77777777" w:rsidR="00A53398" w:rsidRPr="009F2373" w:rsidRDefault="00A53398" w:rsidP="00E84CCD">
      <w:pPr>
        <w:numPr>
          <w:ilvl w:val="0"/>
          <w:numId w:val="18"/>
        </w:numPr>
        <w:spacing w:after="60" w:line="240" w:lineRule="auto"/>
        <w:ind w:left="426" w:hanging="426"/>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E84CCD">
      <w:pPr>
        <w:numPr>
          <w:ilvl w:val="0"/>
          <w:numId w:val="18"/>
        </w:numPr>
        <w:spacing w:after="60" w:line="240" w:lineRule="auto"/>
        <w:ind w:left="426" w:hanging="426"/>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E84CCD">
      <w:pPr>
        <w:numPr>
          <w:ilvl w:val="0"/>
          <w:numId w:val="18"/>
        </w:numPr>
        <w:spacing w:after="60" w:line="240" w:lineRule="auto"/>
        <w:ind w:left="426" w:hanging="426"/>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E84CCD">
      <w:pPr>
        <w:numPr>
          <w:ilvl w:val="0"/>
          <w:numId w:val="18"/>
        </w:numPr>
        <w:spacing w:after="60" w:line="240" w:lineRule="auto"/>
        <w:ind w:left="426" w:hanging="426"/>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F01453">
      <w:pPr>
        <w:numPr>
          <w:ilvl w:val="0"/>
          <w:numId w:val="18"/>
        </w:numPr>
        <w:spacing w:after="240" w:line="240" w:lineRule="auto"/>
        <w:ind w:left="425" w:hanging="425"/>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52"/>
    <w:p w14:paraId="0806DD59" w14:textId="36035ECA" w:rsidR="002043AC" w:rsidRPr="008A2743" w:rsidRDefault="000A5E6E" w:rsidP="00AD37FD">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E84CCD">
      <w:pPr>
        <w:numPr>
          <w:ilvl w:val="0"/>
          <w:numId w:val="25"/>
        </w:numPr>
        <w:spacing w:after="60" w:line="240" w:lineRule="auto"/>
        <w:ind w:left="426" w:hanging="426"/>
        <w:jc w:val="both"/>
      </w:pPr>
      <w:r w:rsidRPr="008A2743">
        <w:t>Tato Smlouva nabývá platnosti dnem jejího podpisu oběma Smluvními stranami.</w:t>
      </w:r>
    </w:p>
    <w:p w14:paraId="5654B37B" w14:textId="68FFDC2F" w:rsidR="002043AC" w:rsidRDefault="002043AC" w:rsidP="00E84CCD">
      <w:pPr>
        <w:numPr>
          <w:ilvl w:val="0"/>
          <w:numId w:val="25"/>
        </w:numPr>
        <w:spacing w:after="6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45"/>
    <w:p w14:paraId="52031D95" w14:textId="6D4A57F1" w:rsidR="00BE12E8" w:rsidRPr="00DD7985" w:rsidRDefault="00DD7985" w:rsidP="00AD37FD">
      <w:pPr>
        <w:pStyle w:val="Nadpis1"/>
        <w:keepLines w:val="0"/>
        <w:numPr>
          <w:ilvl w:val="0"/>
          <w:numId w:val="31"/>
        </w:numPr>
        <w:spacing w:before="0" w:after="6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E84CCD">
      <w:pPr>
        <w:numPr>
          <w:ilvl w:val="0"/>
          <w:numId w:val="23"/>
        </w:numPr>
        <w:spacing w:after="6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E84CCD">
      <w:pPr>
        <w:numPr>
          <w:ilvl w:val="0"/>
          <w:numId w:val="23"/>
        </w:numPr>
        <w:spacing w:after="60" w:line="240" w:lineRule="auto"/>
        <w:ind w:left="426" w:hanging="426"/>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E84CCD">
      <w:pPr>
        <w:numPr>
          <w:ilvl w:val="0"/>
          <w:numId w:val="23"/>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E84CCD">
      <w:pPr>
        <w:numPr>
          <w:ilvl w:val="0"/>
          <w:numId w:val="23"/>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w:t>
      </w:r>
      <w:r>
        <w:lastRenderedPageBreak/>
        <w:t xml:space="preserve">smyslu a mají nejblíže k neplatnému či neúčinnému ujednání, aniž by požadovaly výhody nebo plnění, která původně nebyla sjednána. </w:t>
      </w:r>
    </w:p>
    <w:p w14:paraId="2894F7A4" w14:textId="77777777" w:rsidR="00AD5D0B" w:rsidRDefault="00AD5D0B" w:rsidP="00E84CCD">
      <w:pPr>
        <w:numPr>
          <w:ilvl w:val="0"/>
          <w:numId w:val="23"/>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E84CCD">
      <w:pPr>
        <w:numPr>
          <w:ilvl w:val="0"/>
          <w:numId w:val="23"/>
        </w:numPr>
        <w:spacing w:after="6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F4C146A" w14:textId="45FFB8E5" w:rsidR="00282A5F" w:rsidRDefault="00ED2BF5" w:rsidP="00E84CCD">
      <w:pPr>
        <w:numPr>
          <w:ilvl w:val="0"/>
          <w:numId w:val="23"/>
        </w:numPr>
        <w:spacing w:after="60" w:line="240" w:lineRule="auto"/>
        <w:ind w:left="426" w:hanging="426"/>
        <w:jc w:val="both"/>
      </w:pPr>
      <w:bookmarkStart w:id="54" w:name="_Hlk511034664"/>
      <w:r w:rsidRPr="00D5437E">
        <w:t>Zhotovitel</w:t>
      </w:r>
      <w:r w:rsidR="00AD5D0B" w:rsidRPr="00D5437E">
        <w:t xml:space="preserve"> </w:t>
      </w:r>
      <w:bookmarkEnd w:id="54"/>
      <w:r w:rsidR="00282A5F" w:rsidRPr="00D5437E">
        <w:t xml:space="preserve">bere na vědomí, že </w:t>
      </w:r>
      <w:r w:rsidR="00282A5F">
        <w:t>Kupující</w:t>
      </w:r>
      <w:r w:rsidR="00282A5F" w:rsidRPr="00D5437E">
        <w:t xml:space="preserve"> je dle zákona č. 340/2015 Sb., o zvláštních podmínkách účinnosti některých smluv, uveřejňování těchto smluv a o registru </w:t>
      </w:r>
      <w:r w:rsidR="00282A5F" w:rsidRPr="005065E3">
        <w:t xml:space="preserve">smluv, </w:t>
      </w:r>
      <w:r w:rsidR="00282A5F">
        <w:t>ve znění pozdějších předpisů</w:t>
      </w:r>
      <w:r w:rsidR="00282A5F" w:rsidRPr="005065E3">
        <w:t>, je</w:t>
      </w:r>
      <w:r w:rsidR="00282A5F" w:rsidRPr="00D5437E">
        <w:t xml:space="preserve"> povinným subjektem a souhlasí se zveřejněním této Smlouvy. </w:t>
      </w:r>
      <w:r w:rsidR="00282A5F">
        <w:t>Kupující</w:t>
      </w:r>
      <w:r w:rsidR="00282A5F" w:rsidRPr="00D5437E">
        <w:t xml:space="preserve"> se zavazuje bezodkladně po uzavření této Smlouvy odeslat Smlouvu k řádnému uveřejnění do Registru smluv.  </w:t>
      </w:r>
      <w:r w:rsidR="00282A5F" w:rsidRPr="007D28B5">
        <w:t xml:space="preserve">O uveřejnění Smlouvy bude druhá smluvní strana informována prostřednictvím datové schránky, kdy obdrží zprávu o zveřejnění přímo z Registru smluv. </w:t>
      </w:r>
      <w:r w:rsidR="00282A5F" w:rsidRPr="00D5437E">
        <w:t>Smluvní strany berou na vědomí, že nebude-li Smlouva zveřejněna ani 90. den od jejího uzavření, je následujícím dnem zrušena od počátku s účinky případného bezdůvodného obohacení.</w:t>
      </w:r>
    </w:p>
    <w:p w14:paraId="414AD866" w14:textId="54B82B0E" w:rsidR="00AD5D0B" w:rsidRDefault="00AD5D0B" w:rsidP="00E84CCD">
      <w:pPr>
        <w:numPr>
          <w:ilvl w:val="0"/>
          <w:numId w:val="23"/>
        </w:numPr>
        <w:spacing w:after="60" w:line="240" w:lineRule="auto"/>
        <w:ind w:left="426" w:hanging="426"/>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E84CCD">
      <w:pPr>
        <w:numPr>
          <w:ilvl w:val="0"/>
          <w:numId w:val="23"/>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rsidP="009F5010">
      <w:pPr>
        <w:spacing w:after="60" w:line="240" w:lineRule="auto"/>
      </w:pPr>
    </w:p>
    <w:p w14:paraId="4C1AA2C0" w14:textId="16EB625A" w:rsidR="00AD5D0B" w:rsidRPr="00640A13" w:rsidRDefault="00DC2159" w:rsidP="00AD37FD">
      <w:pPr>
        <w:pStyle w:val="Nadpis1"/>
        <w:keepLines w:val="0"/>
        <w:numPr>
          <w:ilvl w:val="0"/>
          <w:numId w:val="31"/>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43FF3E6C" w:rsidR="00811D72" w:rsidRPr="00B168CD" w:rsidRDefault="00BE12E8" w:rsidP="009F5010">
      <w:pPr>
        <w:spacing w:after="60" w:line="240" w:lineRule="auto"/>
        <w:ind w:left="709"/>
        <w:rPr>
          <w:szCs w:val="20"/>
        </w:rPr>
      </w:pPr>
      <w:r w:rsidRPr="00B168CD">
        <w:rPr>
          <w:szCs w:val="20"/>
        </w:rPr>
        <w:t xml:space="preserve">Příloha č. 3 – </w:t>
      </w:r>
      <w:r w:rsidR="00AD37FD" w:rsidRPr="00AD37FD">
        <w:rPr>
          <w:szCs w:val="20"/>
        </w:rPr>
        <w:t>Licenční ujednání upravující právo k užívání poskytnutých softwarových produktů</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Default="00BE12E8" w:rsidP="009F5010">
      <w:pPr>
        <w:spacing w:after="60" w:line="240" w:lineRule="auto"/>
        <w:ind w:right="-766"/>
        <w:jc w:val="both"/>
      </w:pPr>
    </w:p>
    <w:p w14:paraId="674741DB" w14:textId="77777777" w:rsidR="00AD37FD" w:rsidRDefault="00AD37FD" w:rsidP="009F5010">
      <w:pPr>
        <w:spacing w:after="60" w:line="240" w:lineRule="auto"/>
        <w:ind w:right="-766"/>
        <w:jc w:val="both"/>
      </w:pPr>
    </w:p>
    <w:p w14:paraId="76F81533" w14:textId="77777777" w:rsidR="00AD37FD" w:rsidRPr="00A743BF" w:rsidRDefault="00AD37FD" w:rsidP="009F5010">
      <w:pPr>
        <w:spacing w:after="60" w:line="240" w:lineRule="auto"/>
        <w:ind w:right="-766"/>
        <w:jc w:val="both"/>
      </w:pPr>
    </w:p>
    <w:p w14:paraId="26A4D195" w14:textId="21E27A3A" w:rsidR="006C6BD0" w:rsidRPr="00651661" w:rsidRDefault="006C6BD0" w:rsidP="009F5010">
      <w:pPr>
        <w:spacing w:after="6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2325FBBC" w14:textId="77777777" w:rsidR="006C6BD0" w:rsidRDefault="006C6BD0" w:rsidP="009F5010">
      <w:pPr>
        <w:spacing w:after="60" w:line="240" w:lineRule="auto"/>
      </w:pPr>
      <w:bookmarkStart w:id="55"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55"/>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737D6F31" w14:textId="77777777" w:rsidR="00E84CCD" w:rsidRPr="00A0362A" w:rsidRDefault="00E84CCD" w:rsidP="009F5010">
      <w:pPr>
        <w:spacing w:after="60" w:line="240" w:lineRule="auto"/>
      </w:pPr>
    </w:p>
    <w:p w14:paraId="47C2B939" w14:textId="5DA5BC99" w:rsidR="00DA405F" w:rsidRPr="00A0362A" w:rsidRDefault="00DA405F" w:rsidP="00E84CCD">
      <w:pPr>
        <w:tabs>
          <w:tab w:val="left" w:pos="5245"/>
        </w:tabs>
        <w:spacing w:after="0"/>
      </w:pPr>
      <w:r>
        <w:lastRenderedPageBreak/>
        <w:t>…………..</w:t>
      </w:r>
      <w:r w:rsidRPr="00A0362A">
        <w:t>……………………………………</w:t>
      </w:r>
      <w:r w:rsidR="00E84CCD">
        <w:tab/>
      </w:r>
      <w:r w:rsidRPr="00A0362A">
        <w:t>……………………………………</w:t>
      </w:r>
      <w:r>
        <w:t>…………</w:t>
      </w:r>
    </w:p>
    <w:p w14:paraId="14488BC3" w14:textId="17DF79A8" w:rsidR="00DA405F" w:rsidRDefault="00DA405F" w:rsidP="00E84CCD">
      <w:pPr>
        <w:spacing w:after="0"/>
      </w:pPr>
      <w:r>
        <w:t>MUDr. Tomáš Gottvald, MHA</w:t>
      </w:r>
      <w:r>
        <w:tab/>
      </w:r>
      <w:r>
        <w:tab/>
      </w:r>
      <w:r>
        <w:tab/>
      </w:r>
      <w:r>
        <w:tab/>
        <w:t xml:space="preserve">      </w:t>
      </w:r>
      <w:r w:rsidRPr="004A7EBF">
        <w:rPr>
          <w:highlight w:val="yellow"/>
        </w:rPr>
        <w:t>jméno</w:t>
      </w:r>
    </w:p>
    <w:p w14:paraId="3E267954" w14:textId="395C20BA" w:rsidR="00DA405F" w:rsidRDefault="00DA405F" w:rsidP="00E84CCD">
      <w:pPr>
        <w:tabs>
          <w:tab w:val="left" w:pos="5245"/>
        </w:tabs>
        <w:spacing w:after="0"/>
      </w:pPr>
      <w:r>
        <w:t>předseda představenstva</w:t>
      </w:r>
      <w:r>
        <w:tab/>
      </w:r>
      <w:r w:rsidRPr="00A4298B">
        <w:rPr>
          <w:highlight w:val="yellow"/>
        </w:rPr>
        <w:t>pozice</w:t>
      </w:r>
      <w:r>
        <w:tab/>
      </w:r>
    </w:p>
    <w:p w14:paraId="65095BE9" w14:textId="77777777" w:rsidR="00DA405F" w:rsidRDefault="00DA405F" w:rsidP="00DA405F">
      <w:pPr>
        <w:spacing w:before="120" w:after="120"/>
      </w:pPr>
    </w:p>
    <w:p w14:paraId="57C265E2" w14:textId="77777777" w:rsidR="00E84CCD" w:rsidRDefault="00E84CCD" w:rsidP="00DA405F">
      <w:pPr>
        <w:spacing w:before="120" w:after="120"/>
      </w:pPr>
    </w:p>
    <w:p w14:paraId="7C2EAF90" w14:textId="77777777" w:rsidR="00E84CCD" w:rsidRDefault="00E84CCD" w:rsidP="00DA405F">
      <w:pPr>
        <w:spacing w:before="120" w:after="120"/>
      </w:pPr>
    </w:p>
    <w:p w14:paraId="767C5DD7" w14:textId="6620EAE0" w:rsidR="00E45767" w:rsidRDefault="00E45767" w:rsidP="00E84CCD">
      <w:pPr>
        <w:tabs>
          <w:tab w:val="left" w:pos="2268"/>
          <w:tab w:val="left" w:pos="5245"/>
        </w:tabs>
        <w:autoSpaceDN w:val="0"/>
        <w:spacing w:after="0"/>
      </w:pPr>
      <w:bookmarkStart w:id="56" w:name="_Hlk211844713"/>
      <w:bookmarkStart w:id="57" w:name="_Hlk207181957"/>
      <w:r>
        <w:t>………..</w:t>
      </w:r>
      <w:r w:rsidRPr="00A0362A">
        <w:t>……………………………………</w:t>
      </w:r>
      <w:r w:rsidR="00E84CCD">
        <w:t>…</w:t>
      </w:r>
      <w:r w:rsidR="00E84CCD">
        <w:tab/>
      </w:r>
      <w:r>
        <w:t>……………………………………………</w:t>
      </w:r>
      <w:r w:rsidR="00E84CCD">
        <w:t>….</w:t>
      </w:r>
    </w:p>
    <w:p w14:paraId="1C2907C1" w14:textId="6A05DB39" w:rsidR="00E45767" w:rsidRPr="00A0362A" w:rsidRDefault="00E45767" w:rsidP="00E84CCD">
      <w:pPr>
        <w:tabs>
          <w:tab w:val="left" w:pos="2268"/>
        </w:tabs>
        <w:autoSpaceDN w:val="0"/>
        <w:spacing w:after="0" w:line="240" w:lineRule="auto"/>
      </w:pPr>
      <w:r>
        <w:t>Ing. Petr Vrba</w:t>
      </w:r>
      <w:r w:rsidRPr="009B07A9">
        <w:t xml:space="preserve"> </w:t>
      </w:r>
      <w:r>
        <w:tab/>
      </w:r>
      <w:r>
        <w:tab/>
      </w:r>
      <w:r>
        <w:tab/>
      </w:r>
      <w:r>
        <w:tab/>
      </w:r>
      <w:r>
        <w:tab/>
        <w:t xml:space="preserve">      </w:t>
      </w:r>
      <w:r w:rsidRPr="00F3760E">
        <w:rPr>
          <w:highlight w:val="yellow"/>
        </w:rPr>
        <w:t>jméno</w:t>
      </w:r>
    </w:p>
    <w:p w14:paraId="6D1B3A52" w14:textId="002CE219" w:rsidR="00E45767" w:rsidRDefault="00E45767" w:rsidP="00E84CCD">
      <w:pPr>
        <w:tabs>
          <w:tab w:val="left" w:pos="5245"/>
        </w:tabs>
        <w:spacing w:after="0"/>
      </w:pPr>
      <w:r>
        <w:t>místopředseda představenstva</w:t>
      </w:r>
      <w:r w:rsidRPr="00A0362A">
        <w:tab/>
      </w:r>
      <w:r w:rsidRPr="00783F6F">
        <w:rPr>
          <w:highlight w:val="yellow"/>
        </w:rPr>
        <w:t>pozice</w:t>
      </w:r>
      <w:r w:rsidRPr="00A0362A">
        <w:tab/>
      </w:r>
    </w:p>
    <w:bookmarkEnd w:id="56"/>
    <w:p w14:paraId="4899595E" w14:textId="77777777" w:rsidR="00E45767" w:rsidRPr="00D63B71" w:rsidRDefault="00E45767" w:rsidP="00E45767">
      <w:pPr>
        <w:tabs>
          <w:tab w:val="left" w:pos="2268"/>
        </w:tabs>
        <w:autoSpaceDN w:val="0"/>
        <w:spacing w:after="0"/>
      </w:pPr>
      <w:r>
        <w:tab/>
      </w:r>
    </w:p>
    <w:p w14:paraId="2A02B00A" w14:textId="77777777" w:rsidR="00DA405F" w:rsidRPr="00D63B71" w:rsidRDefault="00DA405F" w:rsidP="00DA405F">
      <w:pPr>
        <w:tabs>
          <w:tab w:val="left" w:pos="2268"/>
        </w:tabs>
        <w:autoSpaceDN w:val="0"/>
        <w:spacing w:after="0"/>
      </w:pPr>
      <w:r>
        <w:tab/>
      </w:r>
    </w:p>
    <w:bookmarkEnd w:id="57"/>
    <w:p w14:paraId="44284AAC" w14:textId="77777777" w:rsidR="00DA405F" w:rsidRDefault="00DA405F" w:rsidP="00DA405F">
      <w:pPr>
        <w:spacing w:before="120" w:after="120"/>
      </w:pPr>
    </w:p>
    <w:p w14:paraId="7E426B72" w14:textId="7C09F6B2" w:rsidR="006C6BD0" w:rsidRDefault="006C6BD0" w:rsidP="009F5010">
      <w:pPr>
        <w:spacing w:after="60" w:line="240" w:lineRule="auto"/>
        <w:rPr>
          <w:b/>
          <w:sz w:val="24"/>
          <w:szCs w:val="20"/>
        </w:rPr>
      </w:pPr>
    </w:p>
    <w:p w14:paraId="1F92C5D8" w14:textId="77777777" w:rsidR="006A74A6" w:rsidRDefault="006A74A6">
      <w:pPr>
        <w:rPr>
          <w:rFonts w:eastAsiaTheme="majorEastAsia" w:cstheme="majorBidi"/>
          <w:b/>
          <w:bCs/>
          <w:sz w:val="28"/>
          <w:lang w:eastAsia="en-US"/>
        </w:rPr>
      </w:pPr>
      <w:bookmarkStart w:id="58" w:name="_Hlk506979781"/>
      <w:r>
        <w:br w:type="page"/>
      </w:r>
    </w:p>
    <w:p w14:paraId="5B9F7861" w14:textId="2B8B71A0" w:rsidR="00095115" w:rsidRDefault="005C0549"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489E589C" w14:textId="77777777" w:rsidR="00E84CCD" w:rsidRDefault="00E84CCD" w:rsidP="009F5010">
      <w:pPr>
        <w:pStyle w:val="Nadpis1"/>
        <w:keepNext w:val="0"/>
        <w:tabs>
          <w:tab w:val="left" w:pos="0"/>
        </w:tabs>
        <w:spacing w:before="0" w:after="60" w:line="240" w:lineRule="auto"/>
        <w:jc w:val="center"/>
        <w:rPr>
          <w:rFonts w:asciiTheme="minorHAnsi" w:hAnsiTheme="minorHAnsi"/>
          <w:color w:val="auto"/>
          <w:szCs w:val="22"/>
        </w:rPr>
      </w:pPr>
    </w:p>
    <w:p w14:paraId="34726715" w14:textId="7DBA3DBF"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9" w:name="_Hlk506979792"/>
      <w:bookmarkEnd w:id="58"/>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AD37FD">
      <w:pPr>
        <w:pStyle w:val="Plohanadpisprvnrovn"/>
        <w:numPr>
          <w:ilvl w:val="0"/>
          <w:numId w:val="19"/>
        </w:numPr>
        <w:spacing w:before="0"/>
        <w:rPr>
          <w:rFonts w:asciiTheme="minorHAnsi" w:hAnsiTheme="minorHAnsi"/>
          <w:color w:val="auto"/>
        </w:rPr>
      </w:pPr>
      <w:bookmarkStart w:id="60" w:name="_Hlk506979820"/>
      <w:bookmarkEnd w:id="59"/>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F01453">
      <w:pPr>
        <w:spacing w:after="60" w:line="240" w:lineRule="auto"/>
        <w:jc w:val="both"/>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AD37FD">
      <w:pPr>
        <w:pStyle w:val="Odstavecseseznamem"/>
        <w:numPr>
          <w:ilvl w:val="0"/>
          <w:numId w:val="20"/>
        </w:numPr>
        <w:spacing w:before="0" w:line="240" w:lineRule="auto"/>
        <w:ind w:left="717"/>
        <w:contextualSpacing w:val="0"/>
        <w:rPr>
          <w:rFonts w:cs="Arial"/>
          <w:b/>
          <w:sz w:val="24"/>
          <w:highlight w:val="yellow"/>
        </w:rPr>
      </w:pPr>
      <w:bookmarkStart w:id="61" w:name="_Hlk514654398"/>
      <w:bookmarkEnd w:id="60"/>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named user, per</w:t>
      </w:r>
      <w:r w:rsidRPr="00E406CE">
        <w:rPr>
          <w:rFonts w:cs="Arial"/>
          <w:i/>
          <w:color w:val="767171" w:themeColor="background2" w:themeShade="80"/>
          <w:highlight w:val="yellow"/>
        </w:rPr>
        <w:t xml:space="preserve"> device, konkurentní,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p w14:paraId="3730548C" w14:textId="77777777" w:rsidR="00224094" w:rsidRPr="00224094" w:rsidRDefault="00224094"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AD37FD">
      <w:pPr>
        <w:pStyle w:val="Odstavecseseznamem"/>
        <w:numPr>
          <w:ilvl w:val="0"/>
          <w:numId w:val="20"/>
        </w:numPr>
        <w:spacing w:before="0" w:line="240" w:lineRule="auto"/>
        <w:ind w:left="717"/>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37A79296"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9F5010">
      <w:pPr>
        <w:spacing w:after="60" w:line="240" w:lineRule="auto"/>
        <w:rPr>
          <w:rFonts w:ascii="Signika" w:eastAsia="Times New Roman" w:hAnsi="Signika" w:cs="Arial"/>
          <w:b/>
          <w:szCs w:val="20"/>
        </w:rPr>
      </w:pPr>
    </w:p>
    <w:p w14:paraId="22C9701F" w14:textId="77777777" w:rsidR="00224094" w:rsidRDefault="00224094" w:rsidP="009F5010">
      <w:pPr>
        <w:spacing w:after="60" w:line="240" w:lineRule="auto"/>
        <w:ind w:firstLine="708"/>
        <w:rPr>
          <w:rFonts w:cs="Arial"/>
        </w:rPr>
      </w:pPr>
      <w:r w:rsidRPr="00E53A96">
        <w:rPr>
          <w:rFonts w:cs="Arial"/>
          <w:highlight w:val="yellow"/>
        </w:rPr>
        <w:t>atd.</w:t>
      </w:r>
    </w:p>
    <w:bookmarkEnd w:id="61"/>
    <w:p w14:paraId="40664D26" w14:textId="5DF0EF62" w:rsidR="002038DB" w:rsidRDefault="002038DB" w:rsidP="009F5010">
      <w:pPr>
        <w:spacing w:after="60" w:line="240" w:lineRule="auto"/>
      </w:pPr>
      <w:r>
        <w:br w:type="page"/>
      </w:r>
    </w:p>
    <w:p w14:paraId="031F9A3E" w14:textId="1296B631" w:rsidR="00E53A96" w:rsidRPr="002038DB" w:rsidRDefault="00E53A96" w:rsidP="00AD37FD">
      <w:pPr>
        <w:pStyle w:val="Plohanadpisprvnrovn"/>
        <w:numPr>
          <w:ilvl w:val="0"/>
          <w:numId w:val="19"/>
        </w:numPr>
        <w:spacing w:before="0"/>
        <w:rPr>
          <w:rFonts w:asciiTheme="minorHAnsi" w:hAnsiTheme="minorHAnsi"/>
          <w:color w:val="auto"/>
        </w:rPr>
      </w:pPr>
      <w:bookmarkStart w:id="62" w:name="_Hlk511371390"/>
      <w:bookmarkStart w:id="63"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62"/>
    <w:p w14:paraId="6E6CF94A" w14:textId="68FA1DAA" w:rsidR="00E53A96" w:rsidRPr="005C0549" w:rsidRDefault="00E53A96" w:rsidP="00F01453">
      <w:pPr>
        <w:spacing w:after="60" w:line="240" w:lineRule="auto"/>
        <w:jc w:val="both"/>
      </w:pPr>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AD37FD">
      <w:pPr>
        <w:pStyle w:val="Odstavecseseznamem"/>
        <w:numPr>
          <w:ilvl w:val="0"/>
          <w:numId w:val="29"/>
        </w:numPr>
        <w:spacing w:before="0" w:line="240" w:lineRule="auto"/>
        <w:contextualSpacing w:val="0"/>
        <w:rPr>
          <w:rFonts w:cs="Arial"/>
          <w:b/>
          <w:sz w:val="24"/>
          <w:highlight w:val="yellow"/>
        </w:rPr>
      </w:pPr>
      <w:bookmarkStart w:id="64" w:name="_Hlk511371442"/>
      <w:bookmarkStart w:id="65" w:name="_Hlk514654679"/>
      <w:r w:rsidRPr="00224094">
        <w:rPr>
          <w:rFonts w:cs="Arial"/>
          <w:b/>
          <w:sz w:val="24"/>
        </w:rPr>
        <w:t xml:space="preserve">Název SSW:      </w:t>
      </w:r>
      <w:r w:rsidRPr="00E53A96">
        <w:rPr>
          <w:rFonts w:cs="Arial"/>
          <w:b/>
          <w:sz w:val="24"/>
          <w:highlight w:val="yellow"/>
        </w:rPr>
        <w:t>… obchodní název SSW …</w:t>
      </w:r>
    </w:p>
    <w:p w14:paraId="1A7AE5A7" w14:textId="21283092" w:rsidR="00E406CE" w:rsidRPr="00E406CE" w:rsidRDefault="00224094" w:rsidP="009F5010">
      <w:pPr>
        <w:spacing w:after="60" w:line="240" w:lineRule="auto"/>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r w:rsidR="00E406CE">
        <w:rPr>
          <w:rFonts w:cs="Arial"/>
          <w:i/>
          <w:color w:val="767171" w:themeColor="background2" w:themeShade="80"/>
          <w:highlight w:val="yellow"/>
        </w:rPr>
        <w:t>core</w:t>
      </w:r>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9F5010">
      <w:pPr>
        <w:spacing w:after="60" w:line="240" w:lineRule="auto"/>
        <w:ind w:left="357"/>
        <w:rPr>
          <w:rFonts w:cs="Arial"/>
          <w:b/>
          <w:sz w:val="20"/>
        </w:rPr>
      </w:pPr>
    </w:p>
    <w:p w14:paraId="7E73F6C6" w14:textId="77777777" w:rsidR="00E53A96" w:rsidRPr="00224094" w:rsidRDefault="00E53A96"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41CF0BDB"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9F5010">
      <w:pPr>
        <w:spacing w:after="60" w:line="240" w:lineRule="auto"/>
        <w:ind w:left="357" w:firstLine="357"/>
        <w:rPr>
          <w:rFonts w:cs="Arial"/>
          <w:highlight w:val="yellow"/>
        </w:rPr>
      </w:pPr>
      <w:r w:rsidRPr="00E84049">
        <w:rPr>
          <w:rFonts w:cs="Arial"/>
          <w:highlight w:val="yellow"/>
        </w:rPr>
        <w:t>……..</w:t>
      </w:r>
    </w:p>
    <w:p w14:paraId="799106B5" w14:textId="77777777" w:rsidR="00E53A96" w:rsidRPr="00224094" w:rsidRDefault="00E53A96" w:rsidP="009F5010">
      <w:pPr>
        <w:spacing w:after="60" w:line="240" w:lineRule="auto"/>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4"/>
    <w:p w14:paraId="6909E003" w14:textId="77777777" w:rsidR="00E53A96" w:rsidRDefault="00E53A96" w:rsidP="009F5010">
      <w:pPr>
        <w:spacing w:after="60" w:line="240" w:lineRule="auto"/>
        <w:rPr>
          <w:rFonts w:cs="Arial"/>
        </w:rPr>
      </w:pPr>
    </w:p>
    <w:p w14:paraId="3AE3B8B1" w14:textId="77777777" w:rsidR="00E53A96" w:rsidRPr="00224094" w:rsidRDefault="00E53A96"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AD37FD">
      <w:pPr>
        <w:pStyle w:val="Odstavecseseznamem"/>
        <w:numPr>
          <w:ilvl w:val="0"/>
          <w:numId w:val="29"/>
        </w:numPr>
        <w:spacing w:before="0" w:line="240" w:lineRule="auto"/>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545BF13C"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11B0BC16" w14:textId="6315BF62"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9F5010">
      <w:pPr>
        <w:spacing w:after="60" w:line="240" w:lineRule="auto"/>
        <w:rPr>
          <w:rFonts w:ascii="Signika" w:eastAsia="Times New Roman" w:hAnsi="Signika" w:cs="Arial"/>
          <w:b/>
          <w:szCs w:val="20"/>
        </w:rPr>
      </w:pPr>
    </w:p>
    <w:p w14:paraId="034011D4" w14:textId="77777777" w:rsidR="00E84049" w:rsidRDefault="00E84049" w:rsidP="009F5010">
      <w:pPr>
        <w:spacing w:after="60" w:line="240" w:lineRule="auto"/>
        <w:ind w:firstLine="708"/>
        <w:rPr>
          <w:rFonts w:cs="Arial"/>
        </w:rPr>
      </w:pPr>
      <w:r w:rsidRPr="00E53A96">
        <w:rPr>
          <w:rFonts w:cs="Arial"/>
          <w:highlight w:val="yellow"/>
        </w:rPr>
        <w:t>atd.</w:t>
      </w:r>
    </w:p>
    <w:bookmarkEnd w:id="63"/>
    <w:bookmarkEnd w:id="65"/>
    <w:p w14:paraId="7AD18561" w14:textId="77777777" w:rsidR="008F5B02" w:rsidRDefault="008F5B02">
      <w:pPr>
        <w:rPr>
          <w:rFonts w:eastAsiaTheme="majorEastAsia" w:cstheme="majorBidi"/>
          <w:b/>
          <w:bCs/>
          <w:sz w:val="28"/>
          <w:lang w:eastAsia="en-US"/>
        </w:rPr>
      </w:pPr>
      <w:r>
        <w:br w:type="page"/>
      </w:r>
    </w:p>
    <w:p w14:paraId="17B077DB" w14:textId="60536834"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76F68EA5" w14:textId="77777777" w:rsidR="00E84CCD"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w:t>
      </w:r>
    </w:p>
    <w:p w14:paraId="5F579F61" w14:textId="604FF854"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Záruka</w:t>
      </w:r>
      <w:r w:rsidR="00D67196">
        <w:rPr>
          <w:rFonts w:asciiTheme="minorHAnsi" w:hAnsiTheme="minorHAnsi"/>
          <w:color w:val="auto"/>
          <w:szCs w:val="22"/>
        </w:rPr>
        <w:t xml:space="preserve"> a záruční podmínky</w:t>
      </w:r>
    </w:p>
    <w:p w14:paraId="0F6F236A" w14:textId="747961AB" w:rsidR="00E62CA3" w:rsidRPr="00CD3938" w:rsidRDefault="00E62CA3" w:rsidP="009F5010">
      <w:pPr>
        <w:spacing w:after="60" w:line="240" w:lineRule="auto"/>
        <w:rPr>
          <w:bCs/>
          <w:color w:val="767171" w:themeColor="background2" w:themeShade="80"/>
        </w:rPr>
      </w:pPr>
      <w:bookmarkStart w:id="66" w:name="_Hlk211842560"/>
      <w:bookmarkStart w:id="67" w:name="_Toc472491069"/>
      <w:r w:rsidRPr="00CD3938">
        <w:rPr>
          <w:bCs/>
          <w:color w:val="767171" w:themeColor="background2" w:themeShade="80"/>
          <w:highlight w:val="yellow"/>
        </w:rPr>
        <w:t>Zhotovitel zde uvede údaje o zárukách poskytnutých na dílo a n</w:t>
      </w:r>
      <w:r w:rsidR="008F5B02">
        <w:rPr>
          <w:bCs/>
          <w:color w:val="767171" w:themeColor="background2" w:themeShade="80"/>
          <w:highlight w:val="yellow"/>
        </w:rPr>
        <w:t xml:space="preserve">ebo na </w:t>
      </w:r>
      <w:r w:rsidRPr="00CD3938">
        <w:rPr>
          <w:bCs/>
          <w:color w:val="767171" w:themeColor="background2" w:themeShade="80"/>
          <w:highlight w:val="yellow"/>
        </w:rPr>
        <w:t>jednotlivé položky</w:t>
      </w:r>
      <w:r w:rsidR="008F5B02">
        <w:rPr>
          <w:bCs/>
          <w:color w:val="767171" w:themeColor="background2" w:themeShade="80"/>
          <w:highlight w:val="yellow"/>
        </w:rPr>
        <w:t xml:space="preserve"> dodávaného řešení</w:t>
      </w:r>
      <w:r w:rsidRPr="00CD3938">
        <w:rPr>
          <w:bCs/>
          <w:color w:val="767171" w:themeColor="background2" w:themeShade="80"/>
          <w:highlight w:val="yellow"/>
        </w:rPr>
        <w:t>, záruční podmínky a termíny (doby záruky dle jednotlivých položek, funkčních celků).</w:t>
      </w:r>
    </w:p>
    <w:bookmarkEnd w:id="66"/>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72108A49" w14:textId="77777777" w:rsidR="00E84CCD" w:rsidRDefault="00E84CCD" w:rsidP="009F5010">
      <w:pPr>
        <w:pStyle w:val="Nadpis1"/>
        <w:keepNext w:val="0"/>
        <w:tabs>
          <w:tab w:val="left" w:pos="0"/>
        </w:tabs>
        <w:spacing w:before="0" w:after="60" w:line="240" w:lineRule="auto"/>
        <w:jc w:val="center"/>
        <w:rPr>
          <w:rFonts w:asciiTheme="minorHAnsi" w:hAnsiTheme="minorHAnsi"/>
          <w:color w:val="auto"/>
          <w:szCs w:val="22"/>
        </w:rPr>
      </w:pPr>
      <w:bookmarkStart w:id="68" w:name="_Hlk211842696"/>
      <w:bookmarkStart w:id="69" w:name="_Hlk211842638"/>
    </w:p>
    <w:p w14:paraId="59B03017" w14:textId="6BCB51DD"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w:t>
      </w:r>
      <w:r w:rsidR="008F5B02">
        <w:rPr>
          <w:rFonts w:asciiTheme="minorHAnsi" w:hAnsiTheme="minorHAnsi"/>
          <w:color w:val="auto"/>
          <w:szCs w:val="22"/>
        </w:rPr>
        <w:t xml:space="preserve">ých </w:t>
      </w:r>
      <w:r w:rsidR="009F5010">
        <w:rPr>
          <w:rFonts w:asciiTheme="minorHAnsi" w:hAnsiTheme="minorHAnsi"/>
          <w:color w:val="auto"/>
          <w:szCs w:val="22"/>
        </w:rPr>
        <w:t>softwar</w:t>
      </w:r>
      <w:r w:rsidR="008F5B02">
        <w:rPr>
          <w:rFonts w:asciiTheme="minorHAnsi" w:hAnsiTheme="minorHAnsi"/>
          <w:color w:val="auto"/>
          <w:szCs w:val="22"/>
        </w:rPr>
        <w:t>ových produktů</w:t>
      </w:r>
    </w:p>
    <w:bookmarkEnd w:id="68"/>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bookmarkStart w:id="70" w:name="_Hlk211842648"/>
      <w:bookmarkEnd w:id="69"/>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bookmarkEnd w:id="70"/>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9F5010">
      <w:pPr>
        <w:pStyle w:val="Nadpis1"/>
        <w:keepNext w:val="0"/>
        <w:tabs>
          <w:tab w:val="left" w:pos="0"/>
        </w:tabs>
        <w:spacing w:before="0" w:after="6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3AAC9CB7" w14:textId="77777777" w:rsidR="00E84CCD" w:rsidRDefault="00E84CCD" w:rsidP="009F5010">
      <w:pPr>
        <w:pStyle w:val="Nadpis1"/>
        <w:keepNext w:val="0"/>
        <w:tabs>
          <w:tab w:val="left" w:pos="0"/>
        </w:tabs>
        <w:spacing w:before="0" w:after="60" w:line="240" w:lineRule="auto"/>
        <w:jc w:val="center"/>
        <w:rPr>
          <w:rFonts w:asciiTheme="minorHAnsi" w:hAnsiTheme="minorHAnsi"/>
          <w:color w:val="auto"/>
          <w:szCs w:val="22"/>
        </w:rPr>
      </w:pPr>
    </w:p>
    <w:p w14:paraId="49DDC6CD" w14:textId="7F960E39"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072" w:type="dxa"/>
        <w:tblInd w:w="137" w:type="dxa"/>
        <w:tblLook w:val="04A0" w:firstRow="1" w:lastRow="0" w:firstColumn="1" w:lastColumn="0" w:noHBand="0" w:noVBand="1"/>
      </w:tblPr>
      <w:tblGrid>
        <w:gridCol w:w="4678"/>
        <w:gridCol w:w="1559"/>
        <w:gridCol w:w="1134"/>
        <w:gridCol w:w="1701"/>
      </w:tblGrid>
      <w:tr w:rsidR="00E84CCD" w14:paraId="62A51326" w14:textId="77777777" w:rsidTr="00EA22AE">
        <w:tc>
          <w:tcPr>
            <w:tcW w:w="4678"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E84CCD" w:rsidRPr="003D2D92" w:rsidRDefault="00E84CCD" w:rsidP="00EA22AE">
            <w:pPr>
              <w:rPr>
                <w:b/>
                <w:bCs/>
              </w:rPr>
            </w:pPr>
            <w:r w:rsidRPr="003D2D92">
              <w:rPr>
                <w:b/>
                <w:bCs/>
              </w:rPr>
              <w:t>Položka</w:t>
            </w:r>
            <w:r>
              <w:rPr>
                <w:b/>
                <w:bCs/>
              </w:rPr>
              <w:t xml:space="preserve"> </w:t>
            </w:r>
          </w:p>
        </w:tc>
        <w:tc>
          <w:tcPr>
            <w:tcW w:w="1559" w:type="dxa"/>
            <w:tcBorders>
              <w:top w:val="single" w:sz="4" w:space="0" w:color="auto"/>
              <w:bottom w:val="single" w:sz="4" w:space="0" w:color="auto"/>
            </w:tcBorders>
            <w:shd w:val="clear" w:color="auto" w:fill="FFE599" w:themeFill="accent4" w:themeFillTint="66"/>
            <w:vAlign w:val="center"/>
          </w:tcPr>
          <w:p w14:paraId="2D14A709" w14:textId="77777777" w:rsidR="00E84CCD" w:rsidRDefault="00E84CCD" w:rsidP="00EA22AE">
            <w:pPr>
              <w:jc w:val="center"/>
              <w:rPr>
                <w:rFonts w:cs="Arial"/>
                <w:b/>
                <w:bCs/>
              </w:rPr>
            </w:pPr>
            <w:r w:rsidRPr="0024183D">
              <w:rPr>
                <w:rFonts w:cs="Arial"/>
                <w:b/>
                <w:bCs/>
              </w:rPr>
              <w:t>Cena</w:t>
            </w:r>
            <w:r>
              <w:rPr>
                <w:rFonts w:cs="Arial"/>
                <w:b/>
                <w:bCs/>
              </w:rPr>
              <w:t xml:space="preserve"> za kus</w:t>
            </w:r>
          </w:p>
          <w:p w14:paraId="0C58DB7D" w14:textId="71B97F9A" w:rsidR="00E84CCD" w:rsidRDefault="00E84CCD" w:rsidP="00EA22AE">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21CC99B2" w:rsidR="00E84CCD" w:rsidRPr="00E84CCD" w:rsidRDefault="00E84CCD" w:rsidP="00EA22AE">
            <w:pPr>
              <w:jc w:val="center"/>
              <w:rPr>
                <w:b/>
              </w:rPr>
            </w:pPr>
            <w:r>
              <w:rPr>
                <w:b/>
              </w:rPr>
              <w:t>Počet kusů</w:t>
            </w:r>
          </w:p>
        </w:tc>
        <w:tc>
          <w:tcPr>
            <w:tcW w:w="1701" w:type="dxa"/>
            <w:tcBorders>
              <w:top w:val="single" w:sz="4" w:space="0" w:color="auto"/>
              <w:bottom w:val="single" w:sz="4" w:space="0" w:color="auto"/>
            </w:tcBorders>
            <w:shd w:val="clear" w:color="auto" w:fill="FFE599" w:themeFill="accent4" w:themeFillTint="66"/>
            <w:vAlign w:val="center"/>
          </w:tcPr>
          <w:p w14:paraId="6F147B0C" w14:textId="0CFF2189" w:rsidR="00E84CCD" w:rsidRDefault="00E84CCD" w:rsidP="00EA22AE">
            <w:pPr>
              <w:pStyle w:val="Textkomente"/>
              <w:spacing w:after="0"/>
              <w:jc w:val="center"/>
              <w:rPr>
                <w:rFonts w:cs="Arial"/>
                <w:b/>
                <w:bCs/>
              </w:rPr>
            </w:pPr>
            <w:r w:rsidRPr="0024183D">
              <w:rPr>
                <w:rFonts w:cs="Arial"/>
                <w:b/>
                <w:bCs/>
              </w:rPr>
              <w:t xml:space="preserve">Cena </w:t>
            </w:r>
            <w:r>
              <w:rPr>
                <w:rFonts w:cs="Arial"/>
                <w:b/>
                <w:bCs/>
              </w:rPr>
              <w:t xml:space="preserve">za </w:t>
            </w:r>
            <w:r w:rsidR="00EA22AE">
              <w:rPr>
                <w:rFonts w:cs="Arial"/>
                <w:b/>
                <w:bCs/>
              </w:rPr>
              <w:t xml:space="preserve">počet </w:t>
            </w:r>
            <w:r>
              <w:rPr>
                <w:rFonts w:cs="Arial"/>
                <w:b/>
                <w:bCs/>
              </w:rPr>
              <w:t>kus</w:t>
            </w:r>
            <w:r w:rsidR="00EA22AE">
              <w:rPr>
                <w:rFonts w:cs="Arial"/>
                <w:b/>
                <w:bCs/>
              </w:rPr>
              <w:t>ů</w:t>
            </w:r>
          </w:p>
          <w:p w14:paraId="7FC175A4" w14:textId="5037B884" w:rsidR="00E84CCD" w:rsidRDefault="00E84CCD" w:rsidP="00EA22AE">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00EA22AE">
              <w:rPr>
                <w:rFonts w:cs="Arial"/>
                <w:b/>
                <w:bCs/>
              </w:rPr>
              <w:t>bez</w:t>
            </w:r>
            <w:r w:rsidRPr="0024183D">
              <w:rPr>
                <w:rFonts w:cs="Arial"/>
                <w:b/>
                <w:bCs/>
              </w:rPr>
              <w:t xml:space="preserve"> DPH</w:t>
            </w:r>
          </w:p>
        </w:tc>
      </w:tr>
      <w:tr w:rsidR="00E84CCD" w14:paraId="1D4364AA" w14:textId="77777777" w:rsidTr="00EA22AE">
        <w:tc>
          <w:tcPr>
            <w:tcW w:w="4678" w:type="dxa"/>
          </w:tcPr>
          <w:p w14:paraId="71DC83A6" w14:textId="358EA815" w:rsidR="00E84CCD" w:rsidRPr="00F94773" w:rsidRDefault="00E84CCD" w:rsidP="009F5010">
            <w:pPr>
              <w:spacing w:after="60"/>
              <w:rPr>
                <w:bCs/>
                <w:color w:val="808080" w:themeColor="background1" w:themeShade="80"/>
              </w:rPr>
            </w:pPr>
            <w:r w:rsidRPr="00F94773">
              <w:rPr>
                <w:rFonts w:cs="Calibri"/>
                <w:color w:val="808080" w:themeColor="background1" w:themeShade="80"/>
              </w:rPr>
              <w:t>software</w:t>
            </w:r>
          </w:p>
        </w:tc>
        <w:tc>
          <w:tcPr>
            <w:tcW w:w="1559" w:type="dxa"/>
            <w:shd w:val="clear" w:color="auto" w:fill="FFF6DD"/>
            <w:vAlign w:val="center"/>
          </w:tcPr>
          <w:p w14:paraId="33B37842" w14:textId="1179DA84" w:rsidR="00E84CCD" w:rsidRPr="00463C8A" w:rsidRDefault="00E84CCD" w:rsidP="009F5010">
            <w:pPr>
              <w:spacing w:after="60"/>
              <w:jc w:val="center"/>
              <w:rPr>
                <w:bCs/>
              </w:rPr>
            </w:pPr>
          </w:p>
        </w:tc>
        <w:tc>
          <w:tcPr>
            <w:tcW w:w="1134" w:type="dxa"/>
            <w:shd w:val="clear" w:color="auto" w:fill="FFF6DD"/>
            <w:vAlign w:val="center"/>
          </w:tcPr>
          <w:p w14:paraId="071946AF" w14:textId="65A54CA2" w:rsidR="00E84CCD" w:rsidRPr="00463C8A" w:rsidRDefault="00E84CCD" w:rsidP="009F5010">
            <w:pPr>
              <w:spacing w:after="60"/>
              <w:jc w:val="center"/>
              <w:rPr>
                <w:bCs/>
              </w:rPr>
            </w:pPr>
          </w:p>
        </w:tc>
        <w:tc>
          <w:tcPr>
            <w:tcW w:w="1701" w:type="dxa"/>
            <w:shd w:val="clear" w:color="auto" w:fill="FFF6DD"/>
            <w:vAlign w:val="center"/>
          </w:tcPr>
          <w:p w14:paraId="6FB95EB8" w14:textId="587A4491" w:rsidR="00E84CCD" w:rsidRPr="00463C8A" w:rsidRDefault="00E84CCD" w:rsidP="009F5010">
            <w:pPr>
              <w:spacing w:after="60"/>
              <w:jc w:val="center"/>
              <w:rPr>
                <w:bCs/>
              </w:rPr>
            </w:pPr>
          </w:p>
        </w:tc>
      </w:tr>
      <w:tr w:rsidR="00E84CCD" w14:paraId="0695834F" w14:textId="77777777" w:rsidTr="00EA22AE">
        <w:tc>
          <w:tcPr>
            <w:tcW w:w="4678" w:type="dxa"/>
          </w:tcPr>
          <w:p w14:paraId="3D798248" w14:textId="04B310B6" w:rsidR="00E84CCD" w:rsidRPr="00F94773" w:rsidRDefault="00E84CCD" w:rsidP="009F5010">
            <w:pPr>
              <w:spacing w:after="60"/>
              <w:rPr>
                <w:bCs/>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7987EAA8" w14:textId="31EBA5A2" w:rsidR="00E84CCD" w:rsidRPr="00463C8A" w:rsidRDefault="00E84CCD" w:rsidP="009F5010">
            <w:pPr>
              <w:spacing w:after="60"/>
              <w:jc w:val="center"/>
              <w:rPr>
                <w:bCs/>
              </w:rPr>
            </w:pPr>
          </w:p>
        </w:tc>
        <w:tc>
          <w:tcPr>
            <w:tcW w:w="1134" w:type="dxa"/>
            <w:shd w:val="clear" w:color="auto" w:fill="FFF6DD"/>
            <w:vAlign w:val="center"/>
          </w:tcPr>
          <w:p w14:paraId="6E421B73" w14:textId="34516710" w:rsidR="00E84CCD" w:rsidRPr="00463C8A" w:rsidRDefault="00E84CCD" w:rsidP="009F5010">
            <w:pPr>
              <w:spacing w:after="60"/>
              <w:jc w:val="center"/>
              <w:rPr>
                <w:bCs/>
              </w:rPr>
            </w:pPr>
          </w:p>
        </w:tc>
        <w:tc>
          <w:tcPr>
            <w:tcW w:w="1701" w:type="dxa"/>
            <w:shd w:val="clear" w:color="auto" w:fill="FFF6DD"/>
            <w:vAlign w:val="center"/>
          </w:tcPr>
          <w:p w14:paraId="792404AF" w14:textId="3B7FE3C2" w:rsidR="00E84CCD" w:rsidRPr="00463C8A" w:rsidRDefault="00E84CCD" w:rsidP="009F5010">
            <w:pPr>
              <w:spacing w:after="60"/>
              <w:jc w:val="center"/>
              <w:rPr>
                <w:bCs/>
              </w:rPr>
            </w:pPr>
          </w:p>
        </w:tc>
      </w:tr>
      <w:tr w:rsidR="00E84CCD" w14:paraId="5A63F79F" w14:textId="77777777" w:rsidTr="00EA22AE">
        <w:tc>
          <w:tcPr>
            <w:tcW w:w="4678" w:type="dxa"/>
          </w:tcPr>
          <w:p w14:paraId="30DB31A9" w14:textId="3E4699C8" w:rsidR="00E84CCD" w:rsidRPr="00F94773" w:rsidRDefault="00E84CCD"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640CF091" w14:textId="77777777" w:rsidR="00E84CCD" w:rsidRPr="00463C8A" w:rsidRDefault="00E84CCD" w:rsidP="009F5010">
            <w:pPr>
              <w:spacing w:after="60"/>
              <w:jc w:val="center"/>
              <w:rPr>
                <w:bCs/>
                <w:color w:val="FF0000"/>
              </w:rPr>
            </w:pPr>
          </w:p>
        </w:tc>
        <w:tc>
          <w:tcPr>
            <w:tcW w:w="1134" w:type="dxa"/>
            <w:shd w:val="clear" w:color="auto" w:fill="FFF6DD"/>
            <w:vAlign w:val="center"/>
          </w:tcPr>
          <w:p w14:paraId="5F75D226" w14:textId="77777777" w:rsidR="00E84CCD" w:rsidRPr="00463C8A" w:rsidRDefault="00E84CCD" w:rsidP="009F5010">
            <w:pPr>
              <w:spacing w:after="60"/>
              <w:jc w:val="center"/>
              <w:rPr>
                <w:bCs/>
                <w:color w:val="FF0000"/>
              </w:rPr>
            </w:pPr>
          </w:p>
        </w:tc>
        <w:tc>
          <w:tcPr>
            <w:tcW w:w="1701" w:type="dxa"/>
            <w:shd w:val="clear" w:color="auto" w:fill="FFF6DD"/>
            <w:vAlign w:val="center"/>
          </w:tcPr>
          <w:p w14:paraId="460BF616" w14:textId="77777777" w:rsidR="00E84CCD" w:rsidRPr="00463C8A" w:rsidRDefault="00E84CCD" w:rsidP="009F5010">
            <w:pPr>
              <w:spacing w:after="60"/>
              <w:jc w:val="center"/>
              <w:rPr>
                <w:bCs/>
                <w:color w:val="FF0000"/>
              </w:rPr>
            </w:pPr>
          </w:p>
        </w:tc>
      </w:tr>
      <w:tr w:rsidR="00E84CCD" w14:paraId="36648FA3" w14:textId="77777777" w:rsidTr="00EA22AE">
        <w:tc>
          <w:tcPr>
            <w:tcW w:w="4678" w:type="dxa"/>
          </w:tcPr>
          <w:p w14:paraId="09FFCFF8" w14:textId="77777777" w:rsidR="00E84CCD" w:rsidRPr="00F94773" w:rsidRDefault="00E84CCD"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35DA1777" w14:textId="77777777" w:rsidR="00E84CCD" w:rsidRPr="00463C8A" w:rsidRDefault="00E84CCD" w:rsidP="009F5010">
            <w:pPr>
              <w:spacing w:after="60"/>
              <w:jc w:val="center"/>
              <w:rPr>
                <w:bCs/>
                <w:color w:val="FF0000"/>
              </w:rPr>
            </w:pPr>
          </w:p>
        </w:tc>
        <w:tc>
          <w:tcPr>
            <w:tcW w:w="1134" w:type="dxa"/>
            <w:shd w:val="clear" w:color="auto" w:fill="FFF6DD"/>
            <w:vAlign w:val="center"/>
          </w:tcPr>
          <w:p w14:paraId="0AC2F6D1" w14:textId="77777777" w:rsidR="00E84CCD" w:rsidRPr="00463C8A" w:rsidRDefault="00E84CCD" w:rsidP="009F5010">
            <w:pPr>
              <w:spacing w:after="60"/>
              <w:jc w:val="center"/>
              <w:rPr>
                <w:bCs/>
                <w:color w:val="FF0000"/>
              </w:rPr>
            </w:pPr>
          </w:p>
        </w:tc>
        <w:tc>
          <w:tcPr>
            <w:tcW w:w="1701" w:type="dxa"/>
            <w:shd w:val="clear" w:color="auto" w:fill="FFF6DD"/>
            <w:vAlign w:val="center"/>
          </w:tcPr>
          <w:p w14:paraId="74836772" w14:textId="77777777" w:rsidR="00E84CCD" w:rsidRPr="00463C8A" w:rsidRDefault="00E84CCD" w:rsidP="009F5010">
            <w:pPr>
              <w:spacing w:after="60"/>
              <w:jc w:val="center"/>
              <w:rPr>
                <w:bCs/>
                <w:color w:val="FF0000"/>
              </w:rPr>
            </w:pPr>
          </w:p>
        </w:tc>
      </w:tr>
      <w:tr w:rsidR="00E84CCD" w14:paraId="0234C93A" w14:textId="77777777" w:rsidTr="00EA22AE">
        <w:tc>
          <w:tcPr>
            <w:tcW w:w="4678" w:type="dxa"/>
          </w:tcPr>
          <w:p w14:paraId="4AE73495" w14:textId="358665C6" w:rsidR="00E84CCD" w:rsidRPr="00F94773" w:rsidRDefault="00E84CCD"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22D92633" w14:textId="77777777" w:rsidR="00E84CCD" w:rsidRPr="00463C8A" w:rsidRDefault="00E84CCD" w:rsidP="009F5010">
            <w:pPr>
              <w:spacing w:after="60"/>
              <w:jc w:val="center"/>
              <w:rPr>
                <w:bCs/>
                <w:color w:val="FF0000"/>
              </w:rPr>
            </w:pPr>
          </w:p>
        </w:tc>
        <w:tc>
          <w:tcPr>
            <w:tcW w:w="1134" w:type="dxa"/>
            <w:shd w:val="clear" w:color="auto" w:fill="FFF6DD"/>
            <w:vAlign w:val="center"/>
          </w:tcPr>
          <w:p w14:paraId="7F9B45D8" w14:textId="77777777" w:rsidR="00E84CCD" w:rsidRPr="00463C8A" w:rsidRDefault="00E84CCD" w:rsidP="009F5010">
            <w:pPr>
              <w:spacing w:after="60"/>
              <w:jc w:val="center"/>
              <w:rPr>
                <w:bCs/>
                <w:color w:val="FF0000"/>
              </w:rPr>
            </w:pPr>
          </w:p>
        </w:tc>
        <w:tc>
          <w:tcPr>
            <w:tcW w:w="1701" w:type="dxa"/>
            <w:shd w:val="clear" w:color="auto" w:fill="FFF6DD"/>
            <w:vAlign w:val="center"/>
          </w:tcPr>
          <w:p w14:paraId="02D36F13" w14:textId="77777777" w:rsidR="00E84CCD" w:rsidRPr="00463C8A" w:rsidRDefault="00E84CCD" w:rsidP="009F5010">
            <w:pPr>
              <w:spacing w:after="60"/>
              <w:jc w:val="center"/>
              <w:rPr>
                <w:bCs/>
                <w:color w:val="FF0000"/>
              </w:rPr>
            </w:pPr>
          </w:p>
        </w:tc>
      </w:tr>
      <w:tr w:rsidR="00E84CCD" w14:paraId="73E8088D" w14:textId="77777777" w:rsidTr="00EA22AE">
        <w:tc>
          <w:tcPr>
            <w:tcW w:w="4678" w:type="dxa"/>
          </w:tcPr>
          <w:p w14:paraId="3E185FA8" w14:textId="77777777" w:rsidR="00E84CCD" w:rsidRPr="00F94773" w:rsidRDefault="00E84CCD" w:rsidP="009F5010">
            <w:pPr>
              <w:spacing w:after="60"/>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481A829B" w14:textId="77777777" w:rsidR="00E84CCD" w:rsidRPr="00463C8A" w:rsidRDefault="00E84CCD" w:rsidP="009F5010">
            <w:pPr>
              <w:spacing w:after="60"/>
              <w:jc w:val="center"/>
              <w:rPr>
                <w:bCs/>
                <w:color w:val="FF0000"/>
              </w:rPr>
            </w:pPr>
          </w:p>
        </w:tc>
        <w:tc>
          <w:tcPr>
            <w:tcW w:w="1134" w:type="dxa"/>
            <w:shd w:val="clear" w:color="auto" w:fill="FFF6DD"/>
            <w:vAlign w:val="center"/>
          </w:tcPr>
          <w:p w14:paraId="3C11453B" w14:textId="77777777" w:rsidR="00E84CCD" w:rsidRPr="00463C8A" w:rsidRDefault="00E84CCD" w:rsidP="009F5010">
            <w:pPr>
              <w:spacing w:after="60"/>
              <w:jc w:val="center"/>
              <w:rPr>
                <w:bCs/>
                <w:color w:val="FF0000"/>
              </w:rPr>
            </w:pPr>
          </w:p>
        </w:tc>
        <w:tc>
          <w:tcPr>
            <w:tcW w:w="1701" w:type="dxa"/>
            <w:shd w:val="clear" w:color="auto" w:fill="FFF6DD"/>
            <w:vAlign w:val="center"/>
          </w:tcPr>
          <w:p w14:paraId="7D99C8DD" w14:textId="77777777" w:rsidR="00E84CCD" w:rsidRPr="00463C8A" w:rsidRDefault="00E84CCD" w:rsidP="009F5010">
            <w:pPr>
              <w:spacing w:after="60"/>
              <w:jc w:val="center"/>
              <w:rPr>
                <w:bCs/>
                <w:color w:val="FF0000"/>
              </w:rPr>
            </w:pPr>
          </w:p>
        </w:tc>
      </w:tr>
      <w:tr w:rsidR="00E84CCD" w14:paraId="18B97C7C" w14:textId="77777777" w:rsidTr="00EA22AE">
        <w:tc>
          <w:tcPr>
            <w:tcW w:w="4678" w:type="dxa"/>
          </w:tcPr>
          <w:p w14:paraId="279CF01A" w14:textId="77777777" w:rsidR="00E84CCD" w:rsidRPr="009131A9" w:rsidRDefault="00E84CCD" w:rsidP="009F5010">
            <w:pPr>
              <w:spacing w:after="60"/>
              <w:rPr>
                <w:rFonts w:cs="Calibri"/>
                <w:color w:val="FF0000"/>
              </w:rPr>
            </w:pPr>
          </w:p>
        </w:tc>
        <w:tc>
          <w:tcPr>
            <w:tcW w:w="1559" w:type="dxa"/>
            <w:shd w:val="clear" w:color="auto" w:fill="FFF6DD"/>
            <w:vAlign w:val="center"/>
          </w:tcPr>
          <w:p w14:paraId="4AB3D80E" w14:textId="179A12E2" w:rsidR="00E84CCD" w:rsidRPr="00463C8A" w:rsidRDefault="00E84CCD" w:rsidP="009F5010">
            <w:pPr>
              <w:spacing w:after="60"/>
              <w:jc w:val="center"/>
              <w:rPr>
                <w:bCs/>
                <w:color w:val="FF0000"/>
              </w:rPr>
            </w:pPr>
          </w:p>
        </w:tc>
        <w:tc>
          <w:tcPr>
            <w:tcW w:w="1134" w:type="dxa"/>
            <w:shd w:val="clear" w:color="auto" w:fill="FFF6DD"/>
            <w:vAlign w:val="center"/>
          </w:tcPr>
          <w:p w14:paraId="70747D48" w14:textId="47AB7451" w:rsidR="00E84CCD" w:rsidRPr="00463C8A" w:rsidRDefault="00E84CCD" w:rsidP="009F5010">
            <w:pPr>
              <w:spacing w:after="60"/>
              <w:jc w:val="center"/>
              <w:rPr>
                <w:bCs/>
                <w:color w:val="FF0000"/>
              </w:rPr>
            </w:pPr>
          </w:p>
        </w:tc>
        <w:tc>
          <w:tcPr>
            <w:tcW w:w="1701" w:type="dxa"/>
            <w:shd w:val="clear" w:color="auto" w:fill="FFF6DD"/>
            <w:vAlign w:val="center"/>
          </w:tcPr>
          <w:p w14:paraId="3FF71816" w14:textId="0BC60B48" w:rsidR="00E84CCD" w:rsidRPr="00463C8A" w:rsidRDefault="00E84CCD" w:rsidP="009F5010">
            <w:pPr>
              <w:spacing w:after="60"/>
              <w:jc w:val="center"/>
              <w:rPr>
                <w:bCs/>
                <w:color w:val="FF0000"/>
              </w:rPr>
            </w:pPr>
          </w:p>
        </w:tc>
      </w:tr>
      <w:tr w:rsidR="00E84CCD" w:rsidRPr="00670E63" w14:paraId="61D25F89" w14:textId="77777777" w:rsidTr="00EA22AE">
        <w:trPr>
          <w:trHeight w:val="454"/>
        </w:trPr>
        <w:tc>
          <w:tcPr>
            <w:tcW w:w="7371" w:type="dxa"/>
            <w:gridSpan w:val="3"/>
            <w:tcBorders>
              <w:right w:val="single" w:sz="18" w:space="0" w:color="auto"/>
            </w:tcBorders>
            <w:vAlign w:val="center"/>
          </w:tcPr>
          <w:p w14:paraId="1EE956B3" w14:textId="2A1637BD" w:rsidR="00E84CCD" w:rsidRPr="00C03B5B" w:rsidRDefault="00EA22AE" w:rsidP="009F5010">
            <w:pPr>
              <w:spacing w:after="60"/>
              <w:rPr>
                <w:rFonts w:cs="Arial"/>
              </w:rPr>
            </w:pPr>
            <w:r>
              <w:rPr>
                <w:b/>
              </w:rPr>
              <w:t>Cena c</w:t>
            </w:r>
            <w:r w:rsidR="00E84CCD" w:rsidRPr="00C03B5B">
              <w:rPr>
                <w:b/>
              </w:rPr>
              <w:t>elkem</w:t>
            </w:r>
            <w:r w:rsidR="00E84CCD">
              <w:rPr>
                <w:b/>
              </w:rPr>
              <w:t xml:space="preserve"> </w:t>
            </w:r>
            <w:r>
              <w:rPr>
                <w:b/>
              </w:rPr>
              <w:t xml:space="preserve">za </w:t>
            </w:r>
            <w:r w:rsidR="00E84CCD">
              <w:rPr>
                <w:b/>
              </w:rPr>
              <w:t>technické a softwarové prostředky</w:t>
            </w:r>
            <w:r>
              <w:rPr>
                <w:b/>
              </w:rPr>
              <w:t xml:space="preserve"> v Kč bez DPH</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E84CCD" w:rsidRPr="00C03B5B" w:rsidRDefault="00E84CCD" w:rsidP="009F5010">
            <w:pPr>
              <w:spacing w:after="60"/>
              <w:rPr>
                <w:rFonts w:cs="Arial"/>
              </w:rPr>
            </w:pPr>
          </w:p>
        </w:tc>
      </w:tr>
      <w:tr w:rsidR="00E84CCD" w:rsidRPr="00670E63" w14:paraId="114AB9D3" w14:textId="77777777" w:rsidTr="00EA22AE">
        <w:trPr>
          <w:trHeight w:val="454"/>
        </w:trPr>
        <w:tc>
          <w:tcPr>
            <w:tcW w:w="7371" w:type="dxa"/>
            <w:gridSpan w:val="3"/>
            <w:tcBorders>
              <w:right w:val="single" w:sz="18" w:space="0" w:color="auto"/>
            </w:tcBorders>
            <w:vAlign w:val="center"/>
          </w:tcPr>
          <w:p w14:paraId="2CF83D52" w14:textId="0FE643E4" w:rsidR="00E84CCD" w:rsidRPr="00C03B5B" w:rsidRDefault="00EA22AE" w:rsidP="009F5010">
            <w:pPr>
              <w:spacing w:after="60"/>
              <w:rPr>
                <w:b/>
              </w:rPr>
            </w:pPr>
            <w:r>
              <w:rPr>
                <w:b/>
              </w:rPr>
              <w:t>Výše DPH v Kč</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4A554955" w14:textId="77777777" w:rsidR="00E84CCD" w:rsidRPr="00C03B5B" w:rsidRDefault="00E84CCD" w:rsidP="009F5010">
            <w:pPr>
              <w:spacing w:after="60"/>
              <w:rPr>
                <w:rFonts w:cs="Arial"/>
              </w:rPr>
            </w:pPr>
          </w:p>
        </w:tc>
      </w:tr>
      <w:tr w:rsidR="00E84CCD" w:rsidRPr="00670E63" w14:paraId="1D949D09" w14:textId="77777777" w:rsidTr="00EA22AE">
        <w:trPr>
          <w:trHeight w:val="454"/>
        </w:trPr>
        <w:tc>
          <w:tcPr>
            <w:tcW w:w="7371" w:type="dxa"/>
            <w:gridSpan w:val="3"/>
            <w:tcBorders>
              <w:right w:val="single" w:sz="18" w:space="0" w:color="auto"/>
            </w:tcBorders>
            <w:vAlign w:val="center"/>
          </w:tcPr>
          <w:p w14:paraId="75E6225A" w14:textId="08FD2F14" w:rsidR="00E84CCD" w:rsidRPr="00C03B5B" w:rsidRDefault="00EA22AE" w:rsidP="009F5010">
            <w:pPr>
              <w:spacing w:after="60"/>
              <w:rPr>
                <w:b/>
              </w:rPr>
            </w:pPr>
            <w:r w:rsidRPr="00EA22AE">
              <w:rPr>
                <w:b/>
              </w:rPr>
              <w:t xml:space="preserve">Cena celkem za technické a softwarové prostředky v Kč </w:t>
            </w:r>
            <w:r>
              <w:rPr>
                <w:b/>
              </w:rPr>
              <w:t>s</w:t>
            </w:r>
            <w:r w:rsidRPr="00EA22AE">
              <w:rPr>
                <w:b/>
              </w:rPr>
              <w:t xml:space="preserve"> DPH</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18C0D2DB" w14:textId="77777777" w:rsidR="00E84CCD" w:rsidRPr="00C03B5B" w:rsidRDefault="00E84CCD" w:rsidP="009F5010">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781" w:type="dxa"/>
        <w:tblInd w:w="137" w:type="dxa"/>
        <w:tblCellMar>
          <w:left w:w="0" w:type="dxa"/>
          <w:right w:w="0" w:type="dxa"/>
        </w:tblCellMar>
        <w:tblLook w:val="04A0" w:firstRow="1" w:lastRow="0" w:firstColumn="1" w:lastColumn="0" w:noHBand="0" w:noVBand="1"/>
      </w:tblPr>
      <w:tblGrid>
        <w:gridCol w:w="4961"/>
        <w:gridCol w:w="1701"/>
        <w:gridCol w:w="1418"/>
        <w:gridCol w:w="1701"/>
      </w:tblGrid>
      <w:tr w:rsidR="00927B9E" w:rsidRPr="00420EAB" w14:paraId="266EC72C" w14:textId="77777777" w:rsidTr="00EA22A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9F5010">
            <w:pPr>
              <w:spacing w:after="6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9F5010">
            <w:pPr>
              <w:spacing w:after="60" w:line="240" w:lineRule="auto"/>
              <w:rPr>
                <w:b/>
                <w:bCs/>
              </w:rPr>
            </w:pP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9F5010">
            <w:pPr>
              <w:spacing w:after="6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9F5010">
            <w:pPr>
              <w:spacing w:after="60" w:line="240" w:lineRule="auto"/>
              <w:jc w:val="center"/>
              <w:rPr>
                <w:b/>
                <w:bCs/>
              </w:rPr>
            </w:pPr>
            <w:r>
              <w:rPr>
                <w:b/>
                <w:bCs/>
              </w:rPr>
              <w:t>(</w:t>
            </w:r>
            <w:r w:rsidRPr="00420EAB">
              <w:rPr>
                <w:b/>
                <w:bCs/>
              </w:rPr>
              <w:t>bez DPH</w:t>
            </w:r>
            <w:r>
              <w:rPr>
                <w:b/>
                <w:bCs/>
              </w:rPr>
              <w:t>)</w:t>
            </w:r>
          </w:p>
        </w:tc>
        <w:tc>
          <w:tcPr>
            <w:tcW w:w="1418"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9F5010">
            <w:pPr>
              <w:pStyle w:val="Textkomente"/>
              <w:jc w:val="center"/>
              <w:rPr>
                <w:b/>
              </w:rPr>
            </w:pPr>
            <w:r w:rsidRPr="0024183D">
              <w:rPr>
                <w:b/>
              </w:rPr>
              <w:t>Výše DPH</w:t>
            </w:r>
          </w:p>
          <w:p w14:paraId="12A501B3" w14:textId="77777777" w:rsidR="00927B9E" w:rsidRPr="0024183D" w:rsidRDefault="00927B9E" w:rsidP="009F5010">
            <w:pPr>
              <w:pStyle w:val="Textkomente"/>
              <w:jc w:val="center"/>
              <w:rPr>
                <w:rFonts w:cs="Arial"/>
                <w:b/>
                <w:bCs/>
              </w:rPr>
            </w:pPr>
            <w:r w:rsidRPr="0024183D">
              <w:rPr>
                <w:b/>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403CC08" w:rsidR="00927B9E" w:rsidRPr="0024183D" w:rsidRDefault="00927B9E" w:rsidP="009F5010">
            <w:pPr>
              <w:pStyle w:val="Textkomente"/>
              <w:jc w:val="center"/>
              <w:rPr>
                <w:rFonts w:cs="Arial"/>
                <w:b/>
                <w:bCs/>
              </w:rPr>
            </w:pPr>
            <w:r w:rsidRPr="0024183D">
              <w:rPr>
                <w:rFonts w:cs="Arial"/>
                <w:b/>
                <w:bCs/>
              </w:rPr>
              <w:t>Cena v Kč</w:t>
            </w:r>
          </w:p>
          <w:p w14:paraId="0E427427" w14:textId="77777777" w:rsidR="00927B9E" w:rsidRPr="0024183D" w:rsidRDefault="00927B9E" w:rsidP="009F5010">
            <w:pPr>
              <w:pStyle w:val="Textkomente"/>
              <w:jc w:val="center"/>
              <w:rPr>
                <w:rFonts w:cs="Arial"/>
                <w:b/>
                <w:bCs/>
              </w:rPr>
            </w:pPr>
            <w:r w:rsidRPr="0024183D">
              <w:rPr>
                <w:rFonts w:cs="Arial"/>
                <w:b/>
                <w:bCs/>
              </w:rPr>
              <w:t>(s DPH)</w:t>
            </w:r>
          </w:p>
        </w:tc>
      </w:tr>
      <w:tr w:rsidR="00927B9E" w:rsidRPr="00420EAB" w14:paraId="52D845AD" w14:textId="77777777" w:rsidTr="00EA22A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7372550A" w:rsidR="00927B9E" w:rsidRPr="0043683A" w:rsidRDefault="00927B9E" w:rsidP="009F5010">
            <w:pPr>
              <w:spacing w:after="60" w:line="240" w:lineRule="auto"/>
            </w:pPr>
            <w:r>
              <w:t>Celkem softwarovém prostředky (tab.1)</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EA22A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EA22A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EA22A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701"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418"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EA22A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701"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418"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9F5010">
            <w:pPr>
              <w:spacing w:after="6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0686C180" w14:textId="77777777"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43020BC3" w14:textId="77777777" w:rsidR="00AD37FD" w:rsidRDefault="00AD37FD" w:rsidP="00AD37FD">
      <w:pPr>
        <w:spacing w:after="60" w:line="240" w:lineRule="auto"/>
        <w:rPr>
          <w:rFonts w:cs="Arial"/>
          <w:b/>
          <w:bCs/>
        </w:rPr>
      </w:pPr>
      <w:bookmarkStart w:id="71" w:name="_Hlk69376391"/>
    </w:p>
    <w:p w14:paraId="57078331" w14:textId="6FB66308" w:rsidR="00AD37FD" w:rsidRDefault="00AD37FD" w:rsidP="0010538B">
      <w:pPr>
        <w:spacing w:after="0" w:line="264" w:lineRule="auto"/>
        <w:rPr>
          <w:rFonts w:cs="Arial"/>
          <w:b/>
          <w:bCs/>
        </w:rPr>
      </w:pPr>
      <w:r>
        <w:rPr>
          <w:rFonts w:cs="Arial"/>
          <w:b/>
          <w:bCs/>
        </w:rPr>
        <w:t>Zhotovitel:</w:t>
      </w:r>
    </w:p>
    <w:p w14:paraId="5640E530" w14:textId="79853874" w:rsidR="00AD37FD" w:rsidRPr="003574CC" w:rsidRDefault="00AD37FD" w:rsidP="0010538B">
      <w:pPr>
        <w:spacing w:after="0" w:line="264"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r w:rsidR="00784309">
        <w:rPr>
          <w:rFonts w:cs="Arial"/>
          <w:b/>
        </w:rPr>
        <w:t xml:space="preserve"> </w:t>
      </w:r>
      <w:r w:rsidR="00784309" w:rsidRPr="00D94FAC">
        <w:rPr>
          <w:i/>
          <w:color w:val="AEAAAA" w:themeColor="background2" w:themeShade="BF"/>
          <w:highlight w:val="yellow"/>
        </w:rPr>
        <w:t xml:space="preserve">vyplní </w:t>
      </w:r>
      <w:r w:rsidR="00784309">
        <w:rPr>
          <w:i/>
          <w:color w:val="AEAAAA" w:themeColor="background2" w:themeShade="BF"/>
          <w:highlight w:val="yellow"/>
        </w:rPr>
        <w:t>zhotovitel</w:t>
      </w:r>
    </w:p>
    <w:p w14:paraId="12A53BFB" w14:textId="77777777" w:rsidR="00AD37FD" w:rsidRPr="002B4DF5" w:rsidRDefault="00AD37FD" w:rsidP="0010538B">
      <w:pPr>
        <w:spacing w:after="0" w:line="264" w:lineRule="auto"/>
        <w:rPr>
          <w:rFonts w:cs="Arial"/>
          <w:bCs/>
        </w:rPr>
      </w:pPr>
      <w:r w:rsidRPr="002B4DF5">
        <w:rPr>
          <w:rFonts w:cs="Arial"/>
          <w:bCs/>
        </w:rPr>
        <w:tab/>
        <w:t>Pracovní zařazení:</w:t>
      </w:r>
      <w:r w:rsidRPr="002B4DF5">
        <w:rPr>
          <w:rFonts w:cs="Arial"/>
          <w:bCs/>
        </w:rPr>
        <w:tab/>
        <w:t>……….</w:t>
      </w:r>
    </w:p>
    <w:p w14:paraId="67FAC1FB" w14:textId="77777777" w:rsidR="00AD37FD" w:rsidRPr="002B4DF5" w:rsidRDefault="00AD37FD" w:rsidP="0010538B">
      <w:pPr>
        <w:spacing w:after="0" w:line="264"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0A40F" w14:textId="77777777" w:rsidR="00AD37FD" w:rsidRPr="00ED0604" w:rsidRDefault="00AD37FD" w:rsidP="0010538B">
      <w:pPr>
        <w:spacing w:after="0" w:line="264"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3FD2A02D" w14:textId="77777777" w:rsidR="00AD37FD" w:rsidRDefault="00AD37FD" w:rsidP="0010538B">
      <w:pPr>
        <w:spacing w:after="0" w:line="264" w:lineRule="auto"/>
        <w:rPr>
          <w:rFonts w:cs="Arial"/>
          <w:bCs/>
        </w:rPr>
      </w:pPr>
      <w:r w:rsidRPr="002B4DF5">
        <w:rPr>
          <w:rFonts w:cs="Arial"/>
          <w:bCs/>
        </w:rPr>
        <w:tab/>
      </w:r>
    </w:p>
    <w:p w14:paraId="0E57B831" w14:textId="006D58A7" w:rsidR="00AD37FD" w:rsidRPr="003574CC" w:rsidRDefault="00AD37FD" w:rsidP="0010538B">
      <w:pPr>
        <w:spacing w:after="0" w:line="264"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r w:rsidR="00784309">
        <w:rPr>
          <w:rFonts w:cs="Arial"/>
          <w:b/>
        </w:rPr>
        <w:t xml:space="preserve"> </w:t>
      </w:r>
      <w:r w:rsidR="00784309" w:rsidRPr="00D94FAC">
        <w:rPr>
          <w:i/>
          <w:color w:val="AEAAAA" w:themeColor="background2" w:themeShade="BF"/>
          <w:highlight w:val="yellow"/>
        </w:rPr>
        <w:t xml:space="preserve">vyplní </w:t>
      </w:r>
      <w:r w:rsidR="00784309">
        <w:rPr>
          <w:i/>
          <w:color w:val="AEAAAA" w:themeColor="background2" w:themeShade="BF"/>
          <w:highlight w:val="yellow"/>
        </w:rPr>
        <w:t>zhotovitel</w:t>
      </w:r>
    </w:p>
    <w:p w14:paraId="5641DB1C" w14:textId="77777777" w:rsidR="00AD37FD" w:rsidRPr="002B4DF5" w:rsidRDefault="00AD37FD" w:rsidP="0010538B">
      <w:pPr>
        <w:spacing w:after="0" w:line="264" w:lineRule="auto"/>
        <w:rPr>
          <w:rFonts w:cs="Arial"/>
          <w:bCs/>
        </w:rPr>
      </w:pPr>
      <w:r w:rsidRPr="002B4DF5">
        <w:rPr>
          <w:rFonts w:cs="Arial"/>
          <w:bCs/>
        </w:rPr>
        <w:tab/>
        <w:t>Pracovní zařazení:</w:t>
      </w:r>
      <w:r w:rsidRPr="002B4DF5">
        <w:rPr>
          <w:rFonts w:cs="Arial"/>
          <w:bCs/>
        </w:rPr>
        <w:tab/>
        <w:t>……….</w:t>
      </w:r>
    </w:p>
    <w:p w14:paraId="377F9A90" w14:textId="77777777" w:rsidR="00AD37FD" w:rsidRPr="002B4DF5" w:rsidRDefault="00AD37FD" w:rsidP="0010538B">
      <w:pPr>
        <w:spacing w:after="0" w:line="264"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3559548A" w14:textId="77777777" w:rsidR="00AD37FD" w:rsidRPr="00ED0604" w:rsidRDefault="00AD37FD" w:rsidP="0010538B">
      <w:pPr>
        <w:spacing w:after="0" w:line="264"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…….@.........cz</w:t>
      </w:r>
    </w:p>
    <w:p w14:paraId="3F0CFDE3" w14:textId="77777777" w:rsidR="00AD37FD" w:rsidRDefault="00AD37FD" w:rsidP="0010538B">
      <w:pPr>
        <w:spacing w:after="0" w:line="264" w:lineRule="auto"/>
        <w:rPr>
          <w:rFonts w:cs="Arial"/>
          <w:b/>
          <w:bCs/>
        </w:rPr>
      </w:pPr>
    </w:p>
    <w:p w14:paraId="33152C18" w14:textId="77777777" w:rsidR="0010538B" w:rsidRDefault="0010538B" w:rsidP="0010538B">
      <w:pPr>
        <w:spacing w:after="0" w:line="264" w:lineRule="auto"/>
        <w:rPr>
          <w:rFonts w:cs="Arial"/>
          <w:b/>
          <w:bCs/>
        </w:rPr>
      </w:pPr>
    </w:p>
    <w:p w14:paraId="7074B971" w14:textId="77777777" w:rsidR="00AD37FD" w:rsidRDefault="00AD37FD" w:rsidP="0010538B">
      <w:pPr>
        <w:spacing w:after="0" w:line="264" w:lineRule="auto"/>
        <w:rPr>
          <w:rFonts w:cs="Arial"/>
          <w:b/>
          <w:bCs/>
        </w:rPr>
      </w:pPr>
      <w:r>
        <w:rPr>
          <w:rFonts w:cs="Arial"/>
          <w:b/>
          <w:bCs/>
        </w:rPr>
        <w:t>Objednat</w:t>
      </w:r>
      <w:r w:rsidRPr="00A949FA">
        <w:rPr>
          <w:rFonts w:cs="Arial"/>
          <w:b/>
          <w:bCs/>
        </w:rPr>
        <w:t>el</w:t>
      </w:r>
      <w:r>
        <w:rPr>
          <w:rFonts w:cs="Arial"/>
          <w:b/>
          <w:bCs/>
        </w:rPr>
        <w:t>:</w:t>
      </w:r>
    </w:p>
    <w:p w14:paraId="48FB04EF" w14:textId="77777777" w:rsidR="00AD37FD" w:rsidRPr="002B4DF5" w:rsidRDefault="00AD37FD" w:rsidP="0010538B">
      <w:pPr>
        <w:spacing w:after="0" w:line="264"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Martin Maršík</w:t>
      </w:r>
    </w:p>
    <w:p w14:paraId="60F9196B" w14:textId="77777777" w:rsidR="00AD37FD" w:rsidRPr="002B4DF5" w:rsidRDefault="00AD37FD" w:rsidP="0010538B">
      <w:pPr>
        <w:spacing w:after="0" w:line="264" w:lineRule="auto"/>
        <w:rPr>
          <w:rFonts w:cs="Arial"/>
          <w:bCs/>
        </w:rPr>
      </w:pPr>
      <w:r w:rsidRPr="002B4DF5">
        <w:rPr>
          <w:rFonts w:cs="Arial"/>
          <w:bCs/>
        </w:rPr>
        <w:tab/>
        <w:t>Pracovní zařazení:</w:t>
      </w:r>
      <w:r w:rsidRPr="002B4DF5">
        <w:rPr>
          <w:rFonts w:cs="Arial"/>
          <w:bCs/>
        </w:rPr>
        <w:tab/>
      </w:r>
      <w:r>
        <w:rPr>
          <w:rFonts w:cs="Arial"/>
          <w:bCs/>
        </w:rPr>
        <w:t>Ředitel úseku ICT</w:t>
      </w:r>
    </w:p>
    <w:p w14:paraId="4F50FA7B" w14:textId="77777777" w:rsidR="00AD37FD" w:rsidRPr="002B4DF5" w:rsidRDefault="00AD37FD" w:rsidP="0010538B">
      <w:pPr>
        <w:spacing w:after="0" w:line="264"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E62D4A">
        <w:rPr>
          <w:rFonts w:cs="Arial"/>
          <w:bCs/>
        </w:rPr>
        <w:t>607 258 547</w:t>
      </w:r>
    </w:p>
    <w:p w14:paraId="70A62E00" w14:textId="77777777" w:rsidR="00AD37FD" w:rsidRPr="002B4DF5" w:rsidRDefault="00AD37FD" w:rsidP="0010538B">
      <w:pPr>
        <w:spacing w:after="0" w:line="264"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Pr>
          <w:rFonts w:cs="Arial"/>
          <w:bCs/>
        </w:rPr>
        <w:t>martin.marsik</w:t>
      </w:r>
      <w:r w:rsidRPr="002B4DF5">
        <w:rPr>
          <w:rFonts w:cs="Arial"/>
          <w:bCs/>
        </w:rPr>
        <w:t>@</w:t>
      </w:r>
      <w:r>
        <w:rPr>
          <w:rFonts w:cs="Arial"/>
          <w:bCs/>
        </w:rPr>
        <w:t>nempk.</w:t>
      </w:r>
      <w:r w:rsidRPr="002B4DF5">
        <w:rPr>
          <w:rFonts w:cs="Arial"/>
          <w:bCs/>
        </w:rPr>
        <w:t>cz</w:t>
      </w:r>
    </w:p>
    <w:p w14:paraId="323FB6BA" w14:textId="77777777" w:rsidR="00AD37FD" w:rsidRDefault="00AD37FD" w:rsidP="0010538B">
      <w:pPr>
        <w:spacing w:after="0" w:line="264" w:lineRule="auto"/>
        <w:ind w:firstLine="708"/>
        <w:rPr>
          <w:rFonts w:cs="Arial"/>
          <w:bCs/>
        </w:rPr>
      </w:pPr>
    </w:p>
    <w:p w14:paraId="5151D9CE" w14:textId="77777777" w:rsidR="00AD37FD" w:rsidRPr="002B4DF5" w:rsidRDefault="00AD37FD" w:rsidP="0010538B">
      <w:pPr>
        <w:spacing w:after="0" w:line="264"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Ing. Jan Sabo</w:t>
      </w:r>
    </w:p>
    <w:p w14:paraId="4C1DA4AD" w14:textId="77777777" w:rsidR="00AD37FD" w:rsidRPr="002B4DF5" w:rsidRDefault="00AD37FD" w:rsidP="0010538B">
      <w:pPr>
        <w:spacing w:after="0" w:line="264" w:lineRule="auto"/>
        <w:rPr>
          <w:rFonts w:cs="Arial"/>
          <w:bCs/>
        </w:rPr>
      </w:pPr>
      <w:r w:rsidRPr="002B4DF5">
        <w:rPr>
          <w:rFonts w:cs="Arial"/>
          <w:bCs/>
        </w:rPr>
        <w:tab/>
        <w:t>Pracovní zařazení:</w:t>
      </w:r>
      <w:r w:rsidRPr="002B4DF5">
        <w:rPr>
          <w:rFonts w:cs="Arial"/>
          <w:bCs/>
        </w:rPr>
        <w:tab/>
      </w:r>
      <w:r>
        <w:rPr>
          <w:rFonts w:cs="Arial"/>
          <w:bCs/>
        </w:rPr>
        <w:t xml:space="preserve">Projektový a procesní specialista </w:t>
      </w:r>
    </w:p>
    <w:p w14:paraId="28436FD1" w14:textId="77777777" w:rsidR="00AD37FD" w:rsidRPr="002B4DF5" w:rsidRDefault="00AD37FD" w:rsidP="0010538B">
      <w:pPr>
        <w:spacing w:after="0" w:line="264"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Pr>
          <w:rFonts w:cs="Arial"/>
          <w:bCs/>
        </w:rPr>
        <w:t>466</w:t>
      </w:r>
      <w:r w:rsidRPr="002B4DF5">
        <w:rPr>
          <w:rFonts w:cs="Arial"/>
          <w:bCs/>
        </w:rPr>
        <w:t xml:space="preserve"> </w:t>
      </w:r>
      <w:r>
        <w:rPr>
          <w:rFonts w:cs="Arial"/>
          <w:bCs/>
        </w:rPr>
        <w:t>011 277</w:t>
      </w:r>
    </w:p>
    <w:p w14:paraId="3E257F24" w14:textId="77777777" w:rsidR="00AD37FD" w:rsidRPr="002B4DF5" w:rsidRDefault="00AD37FD" w:rsidP="0010538B">
      <w:pPr>
        <w:spacing w:after="0" w:line="264"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Pr>
          <w:rFonts w:cs="Arial"/>
          <w:bCs/>
        </w:rPr>
        <w:t>jan.sabo</w:t>
      </w:r>
      <w:r w:rsidRPr="002B4DF5">
        <w:rPr>
          <w:rFonts w:cs="Arial"/>
          <w:bCs/>
        </w:rPr>
        <w:t>@</w:t>
      </w:r>
      <w:r>
        <w:rPr>
          <w:rFonts w:cs="Arial"/>
          <w:bCs/>
        </w:rPr>
        <w:t>nempk.</w:t>
      </w:r>
      <w:r w:rsidRPr="002B4DF5">
        <w:rPr>
          <w:rFonts w:cs="Arial"/>
          <w:bCs/>
        </w:rPr>
        <w:t>cz</w:t>
      </w:r>
    </w:p>
    <w:p w14:paraId="5A53395E" w14:textId="77777777" w:rsidR="004172B4" w:rsidRPr="004172B4" w:rsidRDefault="004172B4" w:rsidP="0010538B">
      <w:pPr>
        <w:spacing w:after="0" w:line="264" w:lineRule="auto"/>
        <w:ind w:firstLine="708"/>
        <w:rPr>
          <w:rFonts w:cs="Arial"/>
          <w:bCs/>
        </w:rPr>
      </w:pPr>
    </w:p>
    <w:p w14:paraId="40AC9643" w14:textId="5B0409A9" w:rsidR="0010538B" w:rsidRPr="002B4DF5" w:rsidRDefault="0010538B" w:rsidP="0010538B">
      <w:pPr>
        <w:spacing w:after="0" w:line="264"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Ing. František Berg</w:t>
      </w:r>
    </w:p>
    <w:p w14:paraId="380D66AD" w14:textId="77777777" w:rsidR="0010538B" w:rsidRPr="002B4DF5" w:rsidRDefault="0010538B" w:rsidP="0010538B">
      <w:pPr>
        <w:spacing w:after="0" w:line="264" w:lineRule="auto"/>
        <w:rPr>
          <w:rFonts w:cs="Arial"/>
          <w:bCs/>
        </w:rPr>
      </w:pPr>
      <w:r w:rsidRPr="002B4DF5">
        <w:rPr>
          <w:rFonts w:cs="Arial"/>
          <w:bCs/>
        </w:rPr>
        <w:tab/>
        <w:t>Pracovní zařazení:</w:t>
      </w:r>
      <w:r w:rsidRPr="002B4DF5">
        <w:rPr>
          <w:rFonts w:cs="Arial"/>
          <w:bCs/>
        </w:rPr>
        <w:tab/>
      </w:r>
      <w:r>
        <w:rPr>
          <w:rFonts w:cs="Arial"/>
          <w:bCs/>
        </w:rPr>
        <w:t xml:space="preserve">manažer řízení informačních rizik </w:t>
      </w:r>
    </w:p>
    <w:p w14:paraId="7528C89F" w14:textId="77777777" w:rsidR="0010538B" w:rsidRPr="002B4DF5" w:rsidRDefault="0010538B" w:rsidP="0010538B">
      <w:pPr>
        <w:spacing w:after="0" w:line="264"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w:t>
      </w:r>
      <w:r w:rsidRPr="00EF155E">
        <w:rPr>
          <w:rFonts w:cs="Arial"/>
          <w:bCs/>
        </w:rPr>
        <w:t>725</w:t>
      </w:r>
      <w:r>
        <w:rPr>
          <w:rFonts w:cs="Arial"/>
          <w:bCs/>
        </w:rPr>
        <w:t> </w:t>
      </w:r>
      <w:r w:rsidRPr="00EF155E">
        <w:rPr>
          <w:rFonts w:cs="Arial"/>
          <w:bCs/>
        </w:rPr>
        <w:t>535</w:t>
      </w:r>
      <w:r>
        <w:rPr>
          <w:rFonts w:cs="Arial"/>
          <w:bCs/>
        </w:rPr>
        <w:t xml:space="preserve"> </w:t>
      </w:r>
      <w:r w:rsidRPr="00EF155E">
        <w:rPr>
          <w:rFonts w:cs="Arial"/>
          <w:bCs/>
        </w:rPr>
        <w:t>671</w:t>
      </w:r>
    </w:p>
    <w:p w14:paraId="38A56A6E" w14:textId="77777777" w:rsidR="0010538B" w:rsidRDefault="0010538B" w:rsidP="0010538B">
      <w:pPr>
        <w:spacing w:after="0" w:line="264"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hyperlink r:id="rId9" w:history="1">
        <w:r w:rsidRPr="004D139B">
          <w:rPr>
            <w:rStyle w:val="Hypertextovodkaz"/>
            <w:rFonts w:cs="Arial"/>
            <w:bCs/>
          </w:rPr>
          <w:t>frantisek.berg@nempk.cz</w:t>
        </w:r>
      </w:hyperlink>
    </w:p>
    <w:p w14:paraId="1C2A120E" w14:textId="3CF0E2BD" w:rsidR="00E64728" w:rsidRDefault="00E64728" w:rsidP="009F5010">
      <w:pPr>
        <w:spacing w:after="60" w:line="240" w:lineRule="auto"/>
        <w:rPr>
          <w:rFonts w:cs="Arial"/>
          <w:bCs/>
        </w:rPr>
      </w:pPr>
    </w:p>
    <w:p w14:paraId="77B31D2E" w14:textId="77777777" w:rsidR="002B4DF5" w:rsidRPr="002B4DF5" w:rsidRDefault="002B4DF5" w:rsidP="009F5010">
      <w:pPr>
        <w:spacing w:after="60" w:line="240" w:lineRule="auto"/>
        <w:ind w:left="360"/>
        <w:rPr>
          <w:b/>
        </w:rPr>
      </w:pPr>
    </w:p>
    <w:bookmarkEnd w:id="71"/>
    <w:p w14:paraId="22EF0F6E" w14:textId="77777777" w:rsidR="00EA7623" w:rsidRDefault="00EA7623" w:rsidP="009F5010">
      <w:pPr>
        <w:spacing w:after="60" w:line="240" w:lineRule="auto"/>
        <w:rPr>
          <w:rFonts w:eastAsiaTheme="majorEastAsia" w:cstheme="majorBidi"/>
          <w:b/>
          <w:bCs/>
          <w:sz w:val="28"/>
          <w:lang w:eastAsia="en-US"/>
        </w:rPr>
      </w:pPr>
      <w:r>
        <w:br w:type="page"/>
      </w:r>
    </w:p>
    <w:p w14:paraId="1E9CB4E8" w14:textId="77777777" w:rsidR="0010538B" w:rsidRDefault="0010538B" w:rsidP="0010538B">
      <w:pPr>
        <w:pStyle w:val="Nadpis1"/>
        <w:keepNext w:val="0"/>
        <w:tabs>
          <w:tab w:val="left" w:pos="0"/>
        </w:tabs>
        <w:spacing w:before="0" w:after="60" w:line="240" w:lineRule="auto"/>
        <w:jc w:val="both"/>
        <w:rPr>
          <w:rFonts w:asciiTheme="minorHAnsi" w:hAnsiTheme="minorHAnsi"/>
          <w:color w:val="auto"/>
          <w:szCs w:val="22"/>
        </w:rPr>
      </w:pPr>
      <w:bookmarkStart w:id="72" w:name="_Hlk158012236"/>
      <w:bookmarkEnd w:id="67"/>
      <w:r w:rsidRPr="00B01F17">
        <w:rPr>
          <w:rFonts w:asciiTheme="minorHAnsi" w:hAnsiTheme="minorHAnsi"/>
          <w:color w:val="auto"/>
          <w:szCs w:val="22"/>
        </w:rPr>
        <w:lastRenderedPageBreak/>
        <w:t>Příloha č. 7</w:t>
      </w:r>
    </w:p>
    <w:p w14:paraId="49042950" w14:textId="77777777" w:rsidR="00784309" w:rsidRDefault="00784309" w:rsidP="0010538B">
      <w:pPr>
        <w:pStyle w:val="Nadpis1"/>
        <w:keepNext w:val="0"/>
        <w:tabs>
          <w:tab w:val="left" w:pos="0"/>
        </w:tabs>
        <w:spacing w:before="0" w:after="60" w:line="240" w:lineRule="auto"/>
        <w:jc w:val="center"/>
        <w:rPr>
          <w:rFonts w:asciiTheme="minorHAnsi" w:hAnsiTheme="minorHAnsi"/>
          <w:color w:val="auto"/>
          <w:szCs w:val="22"/>
        </w:rPr>
      </w:pPr>
    </w:p>
    <w:p w14:paraId="7CD4E56C" w14:textId="7DEEB0DE" w:rsidR="0010538B" w:rsidRPr="00B01F17" w:rsidRDefault="0010538B" w:rsidP="0010538B">
      <w:pPr>
        <w:pStyle w:val="Nadpis1"/>
        <w:keepNext w:val="0"/>
        <w:tabs>
          <w:tab w:val="left" w:pos="0"/>
        </w:tabs>
        <w:spacing w:before="0" w:after="6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72"/>
    <w:p w14:paraId="0E725979" w14:textId="77777777" w:rsidR="0010538B" w:rsidRDefault="0010538B" w:rsidP="0010538B">
      <w:pPr>
        <w:spacing w:after="60" w:line="240" w:lineRule="auto"/>
        <w:jc w:val="both"/>
        <w:rPr>
          <w:b/>
          <w:bCs/>
          <w:lang w:eastAsia="en-US"/>
        </w:rPr>
      </w:pPr>
      <w:r w:rsidRPr="00654EA7">
        <w:rPr>
          <w:b/>
          <w:lang w:eastAsia="en-US"/>
        </w:rPr>
        <w:t xml:space="preserve">Předmětné bezpečnostní požadavky vyplývají ze zákona č. </w:t>
      </w:r>
      <w:r>
        <w:rPr>
          <w:b/>
          <w:lang w:eastAsia="en-US"/>
        </w:rPr>
        <w:t>264</w:t>
      </w:r>
      <w:r w:rsidRPr="00654EA7">
        <w:rPr>
          <w:b/>
          <w:lang w:eastAsia="en-US"/>
        </w:rPr>
        <w:t>/20</w:t>
      </w:r>
      <w:r>
        <w:rPr>
          <w:b/>
          <w:lang w:eastAsia="en-US"/>
        </w:rPr>
        <w:t>25</w:t>
      </w:r>
      <w:r w:rsidRPr="00654EA7">
        <w:rPr>
          <w:b/>
          <w:lang w:eastAsia="en-US"/>
        </w:rPr>
        <w:t xml:space="preserve"> Sb., </w:t>
      </w:r>
      <w:r>
        <w:rPr>
          <w:b/>
          <w:lang w:eastAsia="en-US"/>
        </w:rPr>
        <w:t>Z</w:t>
      </w:r>
      <w:r w:rsidRPr="00654EA7">
        <w:rPr>
          <w:b/>
          <w:lang w:eastAsia="en-US"/>
        </w:rPr>
        <w:t xml:space="preserve">ákon o kybernetické bezpečnosti), ve znění pozdějších předpisů (dále jen „ZoKB“), vyhlášky </w:t>
      </w:r>
      <w:r w:rsidRPr="00F918C6">
        <w:rPr>
          <w:b/>
          <w:bCs/>
          <w:lang w:eastAsia="en-US"/>
        </w:rPr>
        <w:t>Vyhláška č. 409/2025 Sb.</w:t>
      </w:r>
      <w:r>
        <w:rPr>
          <w:b/>
          <w:bCs/>
          <w:lang w:eastAsia="en-US"/>
        </w:rPr>
        <w:t>, v</w:t>
      </w:r>
      <w:r w:rsidRPr="00F918C6">
        <w:rPr>
          <w:b/>
          <w:bCs/>
          <w:lang w:eastAsia="en-US"/>
        </w:rPr>
        <w:t>yhláška o bezpečnostních opatřeních poskytovatele regulované služby v režimu vyšších povinností</w:t>
      </w:r>
      <w:r>
        <w:rPr>
          <w:b/>
          <w:bCs/>
          <w:lang w:eastAsia="en-US"/>
        </w:rPr>
        <w:t>.</w:t>
      </w:r>
    </w:p>
    <w:p w14:paraId="53DF2689" w14:textId="77777777" w:rsidR="0010538B" w:rsidRPr="00CD23A2" w:rsidRDefault="0010538B" w:rsidP="0010538B">
      <w:pPr>
        <w:spacing w:after="60" w:line="240" w:lineRule="auto"/>
        <w:jc w:val="both"/>
        <w:rPr>
          <w:b/>
          <w:bCs/>
          <w:lang w:eastAsia="en-US"/>
        </w:rPr>
      </w:pPr>
    </w:p>
    <w:p w14:paraId="32D63CB9" w14:textId="77777777" w:rsidR="0010538B" w:rsidRPr="001512E5" w:rsidRDefault="0010538B" w:rsidP="0010538B">
      <w:pPr>
        <w:pStyle w:val="Odstavecseseznamem"/>
        <w:numPr>
          <w:ilvl w:val="0"/>
          <w:numId w:val="39"/>
        </w:numPr>
        <w:spacing w:before="0" w:line="240" w:lineRule="auto"/>
        <w:contextualSpacing w:val="0"/>
        <w:rPr>
          <w:b/>
          <w:bCs/>
          <w:lang w:eastAsia="en-US"/>
        </w:rPr>
      </w:pPr>
      <w:r w:rsidRPr="001512E5">
        <w:rPr>
          <w:b/>
          <w:bCs/>
          <w:lang w:eastAsia="en-US"/>
        </w:rPr>
        <w:t>Účel</w:t>
      </w:r>
    </w:p>
    <w:p w14:paraId="5FE44EB6" w14:textId="77777777" w:rsidR="0010538B" w:rsidRPr="00654EA7" w:rsidRDefault="0010538B" w:rsidP="0010538B">
      <w:pPr>
        <w:spacing w:after="6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54AC7D39" w14:textId="77777777" w:rsidR="0010538B" w:rsidRPr="00654EA7" w:rsidRDefault="0010538B" w:rsidP="0010538B">
      <w:pPr>
        <w:spacing w:after="60" w:line="240"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784CDD21" w14:textId="77777777" w:rsidR="0010538B" w:rsidRPr="00654EA7" w:rsidRDefault="0010538B" w:rsidP="0010538B">
      <w:pPr>
        <w:spacing w:after="60" w:line="240" w:lineRule="auto"/>
        <w:ind w:left="360"/>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37CC2AA2" w14:textId="77777777" w:rsidR="0010538B" w:rsidRPr="00654EA7" w:rsidRDefault="0010538B" w:rsidP="0010538B">
      <w:pPr>
        <w:pStyle w:val="Odstavecseseznamem"/>
        <w:numPr>
          <w:ilvl w:val="0"/>
          <w:numId w:val="39"/>
        </w:numPr>
        <w:spacing w:before="0" w:line="240" w:lineRule="auto"/>
        <w:contextualSpacing w:val="0"/>
        <w:rPr>
          <w:b/>
          <w:bCs/>
          <w:lang w:eastAsia="en-US"/>
        </w:rPr>
      </w:pPr>
      <w:r>
        <w:rPr>
          <w:b/>
          <w:bCs/>
          <w:lang w:eastAsia="en-US"/>
        </w:rPr>
        <w:t>B</w:t>
      </w:r>
      <w:r w:rsidRPr="00654EA7">
        <w:rPr>
          <w:b/>
          <w:bCs/>
          <w:lang w:eastAsia="en-US"/>
        </w:rPr>
        <w:t>ezpečnost informací</w:t>
      </w:r>
    </w:p>
    <w:p w14:paraId="2E8C5534" w14:textId="77777777" w:rsidR="0010538B" w:rsidRPr="00654EA7" w:rsidRDefault="0010538B" w:rsidP="0010538B">
      <w:pPr>
        <w:spacing w:after="6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58AD8940" w14:textId="77777777" w:rsidR="0010538B" w:rsidRPr="00654EA7" w:rsidRDefault="0010538B" w:rsidP="0010538B">
      <w:pPr>
        <w:spacing w:after="6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14774288" w14:textId="77777777" w:rsidR="0010538B" w:rsidRPr="00654EA7" w:rsidRDefault="0010538B" w:rsidP="0010538B">
      <w:pPr>
        <w:spacing w:after="60" w:line="240" w:lineRule="auto"/>
        <w:ind w:left="360"/>
        <w:rPr>
          <w:lang w:eastAsia="en-US"/>
        </w:rPr>
      </w:pPr>
      <w:r w:rsidRPr="00654EA7">
        <w:rPr>
          <w:lang w:eastAsia="en-US"/>
        </w:rPr>
        <w:t>Povinnost mlčenlivosti dle této přílohy Smlouvy se nevztahuje na informace:</w:t>
      </w:r>
    </w:p>
    <w:p w14:paraId="3E400C8F" w14:textId="77777777" w:rsidR="0010538B" w:rsidRPr="00654EA7" w:rsidRDefault="0010538B" w:rsidP="0010538B">
      <w:pPr>
        <w:numPr>
          <w:ilvl w:val="0"/>
          <w:numId w:val="33"/>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3A2EA9C8" w14:textId="77777777" w:rsidR="0010538B" w:rsidRPr="00654EA7" w:rsidRDefault="0010538B" w:rsidP="0010538B">
      <w:pPr>
        <w:numPr>
          <w:ilvl w:val="0"/>
          <w:numId w:val="33"/>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2B3443B6" w14:textId="77777777" w:rsidR="0010538B" w:rsidRPr="00654EA7" w:rsidRDefault="0010538B" w:rsidP="0010538B">
      <w:pPr>
        <w:numPr>
          <w:ilvl w:val="0"/>
          <w:numId w:val="33"/>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0F165FBB" w14:textId="77777777" w:rsidR="0010538B" w:rsidRPr="00654EA7" w:rsidRDefault="0010538B" w:rsidP="0010538B">
      <w:pPr>
        <w:numPr>
          <w:ilvl w:val="0"/>
          <w:numId w:val="33"/>
        </w:numPr>
        <w:spacing w:after="60" w:line="240" w:lineRule="auto"/>
        <w:ind w:left="1080"/>
        <w:jc w:val="both"/>
        <w:rPr>
          <w:lang w:eastAsia="en-US"/>
        </w:rPr>
      </w:pPr>
      <w:r w:rsidRPr="00654EA7">
        <w:rPr>
          <w:lang w:eastAsia="en-US"/>
        </w:rPr>
        <w:t xml:space="preserve">jejich sdělení se vyžaduje ze zákona. </w:t>
      </w:r>
    </w:p>
    <w:p w14:paraId="68634EC4" w14:textId="77777777" w:rsidR="0010538B" w:rsidRDefault="0010538B" w:rsidP="0010538B">
      <w:pPr>
        <w:spacing w:after="60" w:line="240" w:lineRule="auto"/>
        <w:ind w:left="360"/>
        <w:rPr>
          <w:b/>
          <w:lang w:eastAsia="en-US"/>
        </w:rPr>
      </w:pPr>
    </w:p>
    <w:p w14:paraId="44D19A22" w14:textId="77777777" w:rsidR="0010538B" w:rsidRPr="00B01F17" w:rsidRDefault="0010538B" w:rsidP="0010538B">
      <w:pPr>
        <w:pStyle w:val="Odstavecseseznamem"/>
        <w:numPr>
          <w:ilvl w:val="0"/>
          <w:numId w:val="39"/>
        </w:numPr>
        <w:spacing w:before="0" w:line="240" w:lineRule="auto"/>
        <w:contextualSpacing w:val="0"/>
        <w:rPr>
          <w:b/>
          <w:bCs/>
          <w:lang w:eastAsia="en-US"/>
        </w:rPr>
      </w:pPr>
      <w:r w:rsidRPr="00B01F17">
        <w:rPr>
          <w:b/>
          <w:bCs/>
          <w:lang w:eastAsia="en-US"/>
        </w:rPr>
        <w:t>Zhotovitel se při poskytování plnění pro Objednatele zavazuje plnit následující povinnosti:</w:t>
      </w:r>
    </w:p>
    <w:p w14:paraId="3812D787" w14:textId="77777777" w:rsidR="0010538B" w:rsidRPr="00654EA7" w:rsidRDefault="0010538B" w:rsidP="0010538B">
      <w:pPr>
        <w:numPr>
          <w:ilvl w:val="0"/>
          <w:numId w:val="36"/>
        </w:numPr>
        <w:spacing w:after="60" w:line="240"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45E33354" w14:textId="77777777" w:rsidR="0010538B" w:rsidRPr="00654EA7" w:rsidRDefault="0010538B" w:rsidP="0010538B">
      <w:pPr>
        <w:numPr>
          <w:ilvl w:val="0"/>
          <w:numId w:val="36"/>
        </w:numPr>
        <w:spacing w:after="60" w:line="240" w:lineRule="auto"/>
        <w:ind w:left="1080"/>
        <w:jc w:val="both"/>
        <w:rPr>
          <w:lang w:eastAsia="en-US"/>
        </w:rPr>
      </w:pPr>
      <w:r w:rsidRPr="00654EA7">
        <w:rPr>
          <w:lang w:eastAsia="en-US"/>
        </w:rPr>
        <w:t xml:space="preserve">zajistit, aby Kontaktní osoba pro bezpečnost na straně Zhotovitele nejpozději do 30 dnů od uzavření Smlouvy potvrdila písemně Objednateli, že všechny osoby podílející se na </w:t>
      </w:r>
      <w:r w:rsidRPr="00654EA7">
        <w:rPr>
          <w:lang w:eastAsia="en-US"/>
        </w:rPr>
        <w:lastRenderedPageBreak/>
        <w:t>poskytování plnění této Smlouvy za stranu Zhotovitele a/nebo jeho poddodavatelé byli prokazatelně seznámeni s těmito Bezpečnostními požadavky;</w:t>
      </w:r>
    </w:p>
    <w:p w14:paraId="3834FCD3" w14:textId="77777777" w:rsidR="0010538B" w:rsidRPr="00654EA7" w:rsidRDefault="0010538B" w:rsidP="0010538B">
      <w:pPr>
        <w:numPr>
          <w:ilvl w:val="0"/>
          <w:numId w:val="36"/>
        </w:numPr>
        <w:spacing w:after="60" w:line="240"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63D4064A" w14:textId="77777777" w:rsidR="0010538B" w:rsidRPr="00654EA7" w:rsidRDefault="0010538B" w:rsidP="0010538B">
      <w:pPr>
        <w:numPr>
          <w:ilvl w:val="0"/>
          <w:numId w:val="36"/>
        </w:numPr>
        <w:spacing w:after="6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58022457" w14:textId="77777777" w:rsidR="0010538B" w:rsidRPr="00654EA7" w:rsidRDefault="0010538B" w:rsidP="0010538B">
      <w:pPr>
        <w:numPr>
          <w:ilvl w:val="0"/>
          <w:numId w:val="36"/>
        </w:numPr>
        <w:spacing w:after="6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6539072D" w14:textId="77777777" w:rsidR="0010538B" w:rsidRPr="00654EA7" w:rsidRDefault="0010538B" w:rsidP="0010538B">
      <w:pPr>
        <w:numPr>
          <w:ilvl w:val="0"/>
          <w:numId w:val="36"/>
        </w:numPr>
        <w:spacing w:after="60" w:line="240"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57D546ED"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73" w:name="_Toc532824900"/>
      <w:bookmarkStart w:id="74" w:name="_Hlk138405164"/>
      <w:bookmarkStart w:id="75"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73"/>
    </w:p>
    <w:p w14:paraId="2C0EDC6C" w14:textId="77777777" w:rsidR="0010538B" w:rsidRDefault="0010538B" w:rsidP="0010538B">
      <w:pPr>
        <w:spacing w:after="6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512AEB68" w14:textId="77777777" w:rsidR="0010538B" w:rsidRPr="00654EA7" w:rsidRDefault="0010538B" w:rsidP="0010538B">
      <w:pPr>
        <w:spacing w:after="6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7695DC41" w14:textId="77777777" w:rsidR="0010538B" w:rsidRPr="00654EA7" w:rsidRDefault="0010538B" w:rsidP="0010538B">
      <w:pPr>
        <w:spacing w:after="6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74"/>
    <w:p w14:paraId="6E2FA3E5" w14:textId="77777777" w:rsidR="0010538B" w:rsidRPr="00654EA7" w:rsidRDefault="0010538B" w:rsidP="0010538B">
      <w:pPr>
        <w:pStyle w:val="Odstavecseseznamem"/>
        <w:numPr>
          <w:ilvl w:val="0"/>
          <w:numId w:val="39"/>
        </w:numPr>
        <w:spacing w:before="0" w:line="240" w:lineRule="auto"/>
        <w:contextualSpacing w:val="0"/>
        <w:rPr>
          <w:b/>
          <w:bCs/>
          <w:lang w:eastAsia="en-US"/>
        </w:rPr>
      </w:pPr>
      <w:r w:rsidRPr="00654EA7">
        <w:rPr>
          <w:b/>
          <w:bCs/>
          <w:lang w:eastAsia="en-US"/>
        </w:rPr>
        <w:t>Autorství</w:t>
      </w:r>
      <w:bookmarkEnd w:id="75"/>
    </w:p>
    <w:p w14:paraId="34AF72D1" w14:textId="77777777" w:rsidR="0010538B" w:rsidRDefault="0010538B" w:rsidP="0010538B">
      <w:pPr>
        <w:spacing w:after="6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9D481AF"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76" w:name="_Toc532824902"/>
      <w:r w:rsidRPr="00654EA7">
        <w:rPr>
          <w:b/>
          <w:bCs/>
          <w:lang w:eastAsia="en-US"/>
        </w:rPr>
        <w:t>Kontrola a audit souladu s požadavky bezpečnosti</w:t>
      </w:r>
      <w:bookmarkEnd w:id="76"/>
    </w:p>
    <w:p w14:paraId="787FF488" w14:textId="77777777" w:rsidR="0010538B" w:rsidRDefault="0010538B" w:rsidP="0010538B">
      <w:pPr>
        <w:spacing w:after="60" w:line="240" w:lineRule="auto"/>
        <w:ind w:left="360"/>
        <w:jc w:val="both"/>
        <w:rPr>
          <w:lang w:eastAsia="en-US"/>
        </w:rPr>
      </w:pPr>
      <w:r w:rsidRPr="00654EA7">
        <w:rPr>
          <w:lang w:eastAsia="en-US"/>
        </w:rPr>
        <w:t>Zhotovitel 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5FD4FD11"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77" w:name="_Toc532824903"/>
      <w:r w:rsidRPr="00654EA7">
        <w:rPr>
          <w:b/>
          <w:bCs/>
          <w:lang w:eastAsia="en-US"/>
        </w:rPr>
        <w:t>Řetězení a řízení dodavatelů</w:t>
      </w:r>
      <w:bookmarkEnd w:id="77"/>
    </w:p>
    <w:p w14:paraId="08FD522A" w14:textId="77777777" w:rsidR="0010538B" w:rsidRPr="00B01F17" w:rsidRDefault="0010538B" w:rsidP="0010538B">
      <w:pPr>
        <w:spacing w:after="60" w:line="240" w:lineRule="auto"/>
        <w:ind w:left="360"/>
        <w:jc w:val="both"/>
        <w:rPr>
          <w:bCs/>
          <w:lang w:eastAsia="en-US"/>
        </w:rPr>
      </w:pPr>
      <w:r w:rsidRPr="00B01F17">
        <w:rPr>
          <w:bCs/>
          <w:lang w:eastAsia="en-US"/>
        </w:rPr>
        <w:t>Zhotovitel se při poskytování plnění pro Objednatele zavazuje plnit následující povinnosti:</w:t>
      </w:r>
    </w:p>
    <w:p w14:paraId="7945D8B1" w14:textId="77777777" w:rsidR="0010538B" w:rsidRPr="00654EA7" w:rsidRDefault="0010538B" w:rsidP="0010538B">
      <w:pPr>
        <w:numPr>
          <w:ilvl w:val="0"/>
          <w:numId w:val="37"/>
        </w:numPr>
        <w:spacing w:after="60" w:line="240"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0796EA6D" w14:textId="77777777" w:rsidR="0010538B" w:rsidRPr="00654EA7" w:rsidRDefault="0010538B" w:rsidP="0010538B">
      <w:pPr>
        <w:numPr>
          <w:ilvl w:val="0"/>
          <w:numId w:val="37"/>
        </w:numPr>
        <w:spacing w:after="60" w:line="240"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43AC0F45" w14:textId="77777777" w:rsidR="0010538B" w:rsidRPr="00654EA7" w:rsidRDefault="0010538B" w:rsidP="0010538B">
      <w:pPr>
        <w:numPr>
          <w:ilvl w:val="0"/>
          <w:numId w:val="37"/>
        </w:numPr>
        <w:spacing w:after="60" w:line="240" w:lineRule="auto"/>
        <w:ind w:left="1287"/>
        <w:jc w:val="both"/>
        <w:rPr>
          <w:lang w:eastAsia="en-US"/>
        </w:rPr>
      </w:pPr>
      <w:r w:rsidRPr="00654EA7">
        <w:rPr>
          <w:lang w:eastAsia="en-US"/>
        </w:rPr>
        <w:lastRenderedPageBreak/>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3AD2A255" w14:textId="77777777" w:rsidR="0010538B" w:rsidRPr="00654EA7" w:rsidRDefault="0010538B" w:rsidP="0010538B">
      <w:pPr>
        <w:numPr>
          <w:ilvl w:val="0"/>
          <w:numId w:val="37"/>
        </w:numPr>
        <w:spacing w:after="60" w:line="240"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3DAA6FAB"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78" w:name="_Toc532824904"/>
      <w:r w:rsidRPr="00654EA7">
        <w:rPr>
          <w:b/>
          <w:bCs/>
          <w:lang w:eastAsia="en-US"/>
        </w:rPr>
        <w:t>Řízení změn</w:t>
      </w:r>
      <w:bookmarkEnd w:id="78"/>
    </w:p>
    <w:p w14:paraId="4E8AD653" w14:textId="77777777" w:rsidR="0010538B" w:rsidRPr="00654EA7" w:rsidRDefault="0010538B" w:rsidP="0010538B">
      <w:pPr>
        <w:spacing w:after="6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3F4D1AE0"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79" w:name="_Toc532824905"/>
      <w:r w:rsidRPr="00654EA7">
        <w:rPr>
          <w:b/>
          <w:bCs/>
          <w:lang w:eastAsia="en-US"/>
        </w:rPr>
        <w:t>Zvládání bezpečnostních incidentů</w:t>
      </w:r>
      <w:bookmarkEnd w:id="79"/>
    </w:p>
    <w:p w14:paraId="0C0CCC5C" w14:textId="77777777" w:rsidR="0010538B" w:rsidRPr="00694EA3" w:rsidRDefault="0010538B" w:rsidP="0010538B">
      <w:pPr>
        <w:spacing w:after="6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620895C0" w14:textId="77777777" w:rsidR="0010538B" w:rsidRPr="00654EA7" w:rsidRDefault="0010538B" w:rsidP="0010538B">
      <w:pPr>
        <w:numPr>
          <w:ilvl w:val="0"/>
          <w:numId w:val="41"/>
        </w:numPr>
        <w:spacing w:after="60" w:line="240" w:lineRule="auto"/>
        <w:jc w:val="both"/>
        <w:rPr>
          <w:lang w:eastAsia="en-US"/>
        </w:rPr>
      </w:pPr>
      <w:bookmarkStart w:id="80" w:name="_Hlk151712438"/>
      <w:bookmarkStart w:id="81"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80"/>
      <w:r>
        <w:rPr>
          <w:lang w:eastAsia="en-US"/>
        </w:rPr>
        <w:t>.</w:t>
      </w:r>
    </w:p>
    <w:p w14:paraId="7E65C6A8" w14:textId="77777777" w:rsidR="0010538B" w:rsidRPr="00654EA7" w:rsidRDefault="0010538B" w:rsidP="0010538B">
      <w:pPr>
        <w:numPr>
          <w:ilvl w:val="0"/>
          <w:numId w:val="41"/>
        </w:numPr>
        <w:spacing w:after="60" w:line="240" w:lineRule="auto"/>
        <w:jc w:val="both"/>
        <w:rPr>
          <w:lang w:eastAsia="en-US"/>
        </w:rPr>
      </w:pPr>
      <w:r w:rsidRPr="00654EA7">
        <w:rPr>
          <w:lang w:eastAsia="en-US"/>
        </w:rPr>
        <w:t>dostatečně zabezpečit veškerý přenos dat a informací z pohledu bezpečnostních požadavků na jejich důvěrnost, integritu a dostupnost.</w:t>
      </w:r>
    </w:p>
    <w:p w14:paraId="2183080E" w14:textId="77777777" w:rsidR="0010538B" w:rsidRPr="00654EA7" w:rsidRDefault="0010538B" w:rsidP="0010538B">
      <w:pPr>
        <w:pStyle w:val="Odstavecseseznamem"/>
        <w:numPr>
          <w:ilvl w:val="0"/>
          <w:numId w:val="39"/>
        </w:numPr>
        <w:spacing w:before="0" w:line="240" w:lineRule="auto"/>
        <w:contextualSpacing w:val="0"/>
        <w:rPr>
          <w:b/>
          <w:bCs/>
          <w:lang w:eastAsia="en-US"/>
        </w:rPr>
      </w:pPr>
      <w:r w:rsidRPr="00654EA7">
        <w:rPr>
          <w:b/>
          <w:bCs/>
          <w:lang w:eastAsia="en-US"/>
        </w:rPr>
        <w:t>Informační povinnost a povinnosti při výměně informací</w:t>
      </w:r>
      <w:bookmarkEnd w:id="81"/>
      <w:r w:rsidRPr="00654EA7">
        <w:rPr>
          <w:b/>
          <w:bCs/>
          <w:lang w:eastAsia="en-US"/>
        </w:rPr>
        <w:t xml:space="preserve"> </w:t>
      </w:r>
    </w:p>
    <w:p w14:paraId="3AD8BFA7" w14:textId="77777777" w:rsidR="0010538B" w:rsidRPr="00694EA3" w:rsidRDefault="0010538B" w:rsidP="0010538B">
      <w:pPr>
        <w:spacing w:after="60" w:line="240" w:lineRule="auto"/>
        <w:ind w:left="360"/>
        <w:jc w:val="both"/>
        <w:rPr>
          <w:bCs/>
          <w:lang w:eastAsia="en-US"/>
        </w:rPr>
      </w:pPr>
      <w:r w:rsidRPr="00694EA3">
        <w:rPr>
          <w:bCs/>
          <w:lang w:eastAsia="en-US"/>
        </w:rPr>
        <w:t>Zhotovitel se během poskytování plnění pro Objednatele zavazuje Objednatele informovat o:</w:t>
      </w:r>
    </w:p>
    <w:p w14:paraId="283D36D9" w14:textId="77777777" w:rsidR="0010538B" w:rsidRPr="00654EA7" w:rsidRDefault="0010538B" w:rsidP="0010538B">
      <w:pPr>
        <w:numPr>
          <w:ilvl w:val="0"/>
          <w:numId w:val="35"/>
        </w:numPr>
        <w:spacing w:after="6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4F6DD9C1" w14:textId="77777777" w:rsidR="0010538B" w:rsidRPr="00654EA7" w:rsidRDefault="0010538B" w:rsidP="0010538B">
      <w:pPr>
        <w:numPr>
          <w:ilvl w:val="0"/>
          <w:numId w:val="35"/>
        </w:numPr>
        <w:spacing w:after="6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4447A06C"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82" w:name="_Toc532824907"/>
      <w:r w:rsidRPr="00654EA7">
        <w:rPr>
          <w:b/>
          <w:bCs/>
          <w:lang w:eastAsia="en-US"/>
        </w:rPr>
        <w:t>Povinnosti při ukončení Smlouvy</w:t>
      </w:r>
      <w:bookmarkEnd w:id="82"/>
    </w:p>
    <w:p w14:paraId="0AE22AE0" w14:textId="77777777" w:rsidR="0010538B" w:rsidRPr="00654EA7" w:rsidRDefault="0010538B" w:rsidP="0010538B">
      <w:pPr>
        <w:spacing w:after="6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21938C79" w14:textId="77777777" w:rsidR="0010538B" w:rsidRPr="00654EA7" w:rsidRDefault="0010538B" w:rsidP="0010538B">
      <w:pPr>
        <w:numPr>
          <w:ilvl w:val="0"/>
          <w:numId w:val="42"/>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3480C12B" w14:textId="77777777" w:rsidR="0010538B" w:rsidRPr="00654EA7" w:rsidRDefault="0010538B" w:rsidP="0010538B">
      <w:pPr>
        <w:numPr>
          <w:ilvl w:val="0"/>
          <w:numId w:val="42"/>
        </w:numPr>
        <w:spacing w:after="60" w:line="240" w:lineRule="auto"/>
        <w:jc w:val="both"/>
        <w:rPr>
          <w:lang w:eastAsia="en-US"/>
        </w:rPr>
      </w:pPr>
      <w:r w:rsidRPr="00654EA7">
        <w:rPr>
          <w:lang w:eastAsia="en-US"/>
        </w:rPr>
        <w:t>vrácení důvěrné dokumentace (pokud byla předána),</w:t>
      </w:r>
    </w:p>
    <w:p w14:paraId="4A7F65D6" w14:textId="77777777" w:rsidR="0010538B" w:rsidRPr="00654EA7" w:rsidRDefault="0010538B" w:rsidP="0010538B">
      <w:pPr>
        <w:numPr>
          <w:ilvl w:val="0"/>
          <w:numId w:val="42"/>
        </w:numPr>
        <w:spacing w:after="60" w:line="240"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1472AD12" w14:textId="77777777" w:rsidR="0010538B" w:rsidRPr="00654EA7" w:rsidRDefault="0010538B" w:rsidP="0010538B">
      <w:pPr>
        <w:spacing w:after="6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0E66355A"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83" w:name="_Toc532824908"/>
      <w:r w:rsidRPr="00654EA7">
        <w:rPr>
          <w:b/>
          <w:bCs/>
          <w:lang w:eastAsia="en-US"/>
        </w:rPr>
        <w:t>Specifikace podmínek pro řízení kontinuity činností a zálohování a obnovu dat</w:t>
      </w:r>
      <w:bookmarkEnd w:id="83"/>
    </w:p>
    <w:p w14:paraId="02197ED0" w14:textId="77777777" w:rsidR="0010538B" w:rsidRPr="00654EA7" w:rsidRDefault="0010538B" w:rsidP="0010538B">
      <w:pPr>
        <w:spacing w:after="60" w:line="240" w:lineRule="auto"/>
        <w:ind w:left="360"/>
        <w:jc w:val="both"/>
        <w:rPr>
          <w:lang w:eastAsia="en-US"/>
        </w:rPr>
      </w:pPr>
      <w:r w:rsidRPr="00654EA7">
        <w:rPr>
          <w:lang w:eastAsia="en-US"/>
        </w:rPr>
        <w:t xml:space="preserve">Zhotovitel se zavazuje dodržovat požadavky Objednatele na řízení kontinuity činností. </w:t>
      </w:r>
    </w:p>
    <w:p w14:paraId="27229F1F" w14:textId="77777777" w:rsidR="0010538B" w:rsidRDefault="0010538B" w:rsidP="0010538B">
      <w:pPr>
        <w:spacing w:after="60" w:line="240"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763F2C85"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84" w:name="_Toc532824909"/>
      <w:r w:rsidRPr="00654EA7">
        <w:rPr>
          <w:b/>
          <w:bCs/>
          <w:lang w:eastAsia="en-US"/>
        </w:rPr>
        <w:t>Bezpečnost lidských zdrojů</w:t>
      </w:r>
      <w:bookmarkEnd w:id="84"/>
    </w:p>
    <w:p w14:paraId="709BED5D" w14:textId="77777777" w:rsidR="0010538B" w:rsidRPr="00654EA7" w:rsidRDefault="0010538B" w:rsidP="0010538B">
      <w:pPr>
        <w:spacing w:after="6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28EDFD27"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85" w:name="_Toc532824910"/>
      <w:r w:rsidRPr="00654EA7">
        <w:rPr>
          <w:b/>
          <w:bCs/>
          <w:lang w:eastAsia="en-US"/>
        </w:rPr>
        <w:t xml:space="preserve">Požadavky na </w:t>
      </w:r>
      <w:bookmarkStart w:id="86" w:name="_Toc414525016"/>
      <w:r w:rsidRPr="00654EA7">
        <w:rPr>
          <w:b/>
          <w:bCs/>
          <w:lang w:eastAsia="en-US"/>
        </w:rPr>
        <w:t>systémovou a provozní bezpečnostní dokumentaci</w:t>
      </w:r>
      <w:bookmarkEnd w:id="85"/>
      <w:bookmarkEnd w:id="86"/>
    </w:p>
    <w:p w14:paraId="4D157817" w14:textId="77777777" w:rsidR="0010538B" w:rsidRDefault="0010538B" w:rsidP="0010538B">
      <w:pPr>
        <w:spacing w:after="60" w:line="240" w:lineRule="auto"/>
        <w:ind w:left="360"/>
        <w:jc w:val="both"/>
        <w:rPr>
          <w:lang w:eastAsia="en-US"/>
        </w:rPr>
      </w:pPr>
      <w:r w:rsidRPr="00654EA7">
        <w:rPr>
          <w:lang w:eastAsia="en-US"/>
        </w:rPr>
        <w:lastRenderedPageBreak/>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BACE9AA" w14:textId="77777777" w:rsidR="0010538B" w:rsidRPr="00654EA7" w:rsidRDefault="0010538B" w:rsidP="0010538B">
      <w:pPr>
        <w:spacing w:after="60" w:line="240" w:lineRule="auto"/>
        <w:ind w:left="360"/>
        <w:jc w:val="both"/>
        <w:rPr>
          <w:lang w:eastAsia="en-US"/>
        </w:rPr>
      </w:pPr>
    </w:p>
    <w:p w14:paraId="438CFA65"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87" w:name="_Toc414525018"/>
      <w:bookmarkStart w:id="88" w:name="_Toc532824911"/>
      <w:r w:rsidRPr="00654EA7">
        <w:rPr>
          <w:b/>
          <w:bCs/>
          <w:lang w:eastAsia="en-US"/>
        </w:rPr>
        <w:t>Fyzická ochrana a bezpečnost prostředí</w:t>
      </w:r>
      <w:bookmarkEnd w:id="87"/>
      <w:bookmarkEnd w:id="88"/>
    </w:p>
    <w:p w14:paraId="126ED427" w14:textId="77777777" w:rsidR="0010538B" w:rsidRPr="00654EA7" w:rsidRDefault="0010538B" w:rsidP="0010538B">
      <w:pPr>
        <w:numPr>
          <w:ilvl w:val="0"/>
          <w:numId w:val="34"/>
        </w:numPr>
        <w:spacing w:after="60" w:line="240"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40CD9F61" w14:textId="77777777" w:rsidR="0010538B" w:rsidRPr="00654EA7" w:rsidRDefault="0010538B" w:rsidP="0010538B">
      <w:pPr>
        <w:numPr>
          <w:ilvl w:val="0"/>
          <w:numId w:val="34"/>
        </w:numPr>
        <w:spacing w:after="60" w:line="240"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2B682375"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89" w:name="_Toc414525019"/>
      <w:bookmarkStart w:id="90" w:name="_Toc532824912"/>
      <w:r w:rsidRPr="00654EA7">
        <w:rPr>
          <w:b/>
          <w:bCs/>
          <w:lang w:eastAsia="en-US"/>
        </w:rPr>
        <w:t>Požadavky na Řízení přístupu</w:t>
      </w:r>
      <w:bookmarkEnd w:id="89"/>
      <w:bookmarkEnd w:id="90"/>
    </w:p>
    <w:p w14:paraId="55250377" w14:textId="77777777" w:rsidR="0010538B" w:rsidRPr="00654EA7" w:rsidRDefault="0010538B" w:rsidP="0010538B">
      <w:pPr>
        <w:numPr>
          <w:ilvl w:val="0"/>
          <w:numId w:val="38"/>
        </w:numPr>
        <w:spacing w:after="60" w:line="240"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0802BC68" w14:textId="77777777" w:rsidR="0010538B" w:rsidRPr="00654EA7" w:rsidRDefault="0010538B" w:rsidP="0010538B">
      <w:pPr>
        <w:numPr>
          <w:ilvl w:val="0"/>
          <w:numId w:val="38"/>
        </w:numPr>
        <w:spacing w:after="60" w:line="240" w:lineRule="auto"/>
        <w:jc w:val="both"/>
        <w:rPr>
          <w:lang w:eastAsia="en-US"/>
        </w:rPr>
      </w:pPr>
      <w:r w:rsidRPr="00654EA7">
        <w:rPr>
          <w:lang w:eastAsia="en-US"/>
        </w:rPr>
        <w:t>Zhotovitel bere na vědomí, že přidělení oprávnění zaměstnanci Zhotovitele musí být řízeno zásadou tzv. „potřeba vědět (need-to-know principle) a není nárokové;</w:t>
      </w:r>
    </w:p>
    <w:p w14:paraId="6C02A2E4" w14:textId="77777777" w:rsidR="0010538B" w:rsidRPr="00654EA7" w:rsidRDefault="0010538B" w:rsidP="0010538B">
      <w:pPr>
        <w:numPr>
          <w:ilvl w:val="0"/>
          <w:numId w:val="38"/>
        </w:numPr>
        <w:spacing w:after="60" w:line="240" w:lineRule="auto"/>
        <w:jc w:val="both"/>
        <w:rPr>
          <w:lang w:eastAsia="en-US"/>
        </w:rPr>
      </w:pPr>
      <w:r w:rsidRPr="00654EA7">
        <w:rPr>
          <w:lang w:eastAsia="en-US"/>
        </w:rPr>
        <w:t>Zhotovitel se zavazuje, že udělený přístup nesmí být sdílen více zaměstnanci Zhotovitele nebo poddodavatele Zhotovitele;</w:t>
      </w:r>
    </w:p>
    <w:p w14:paraId="3C2FFF1D" w14:textId="77777777" w:rsidR="0010538B" w:rsidRPr="00654EA7" w:rsidRDefault="0010538B" w:rsidP="0010538B">
      <w:pPr>
        <w:numPr>
          <w:ilvl w:val="0"/>
          <w:numId w:val="38"/>
        </w:numPr>
        <w:spacing w:after="60" w:line="240"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185ABFCC" w14:textId="77777777" w:rsidR="0010538B" w:rsidRPr="00654EA7" w:rsidRDefault="0010538B" w:rsidP="0010538B">
      <w:pPr>
        <w:numPr>
          <w:ilvl w:val="0"/>
          <w:numId w:val="38"/>
        </w:numPr>
        <w:spacing w:after="60" w:line="240"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6C7CBACA" w14:textId="77777777" w:rsidR="0010538B" w:rsidRPr="00654EA7" w:rsidRDefault="0010538B" w:rsidP="0010538B">
      <w:pPr>
        <w:numPr>
          <w:ilvl w:val="0"/>
          <w:numId w:val="38"/>
        </w:numPr>
        <w:spacing w:after="60" w:line="240" w:lineRule="auto"/>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0816D4BE" w14:textId="77777777" w:rsidR="0010538B" w:rsidRPr="00654EA7" w:rsidRDefault="0010538B" w:rsidP="0010538B">
      <w:pPr>
        <w:numPr>
          <w:ilvl w:val="0"/>
          <w:numId w:val="38"/>
        </w:numPr>
        <w:spacing w:after="60" w:line="240"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6EEC2C27"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91" w:name="_Toc414525020"/>
      <w:bookmarkStart w:id="92" w:name="_Toc532824913"/>
      <w:r w:rsidRPr="00654EA7">
        <w:rPr>
          <w:b/>
          <w:bCs/>
          <w:lang w:eastAsia="en-US"/>
        </w:rPr>
        <w:t>Monitorování</w:t>
      </w:r>
      <w:bookmarkStart w:id="93" w:name="_Toc414525022"/>
      <w:bookmarkEnd w:id="91"/>
      <w:r w:rsidRPr="00654EA7">
        <w:rPr>
          <w:b/>
          <w:bCs/>
          <w:lang w:eastAsia="en-US"/>
        </w:rPr>
        <w:t xml:space="preserve"> činností</w:t>
      </w:r>
      <w:bookmarkEnd w:id="92"/>
    </w:p>
    <w:bookmarkEnd w:id="93"/>
    <w:p w14:paraId="7566B7AB" w14:textId="77777777" w:rsidR="0010538B" w:rsidRPr="00654EA7" w:rsidRDefault="0010538B" w:rsidP="0010538B">
      <w:pPr>
        <w:spacing w:after="6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00A123B8"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94" w:name="_Toc532824914"/>
      <w:bookmarkStart w:id="95" w:name="_Toc414525023"/>
      <w:r w:rsidRPr="00654EA7">
        <w:rPr>
          <w:b/>
          <w:bCs/>
          <w:lang w:eastAsia="en-US"/>
        </w:rPr>
        <w:t>Předání a převzetí plnění</w:t>
      </w:r>
      <w:bookmarkEnd w:id="94"/>
    </w:p>
    <w:bookmarkEnd w:id="95"/>
    <w:p w14:paraId="40E4026A" w14:textId="77777777" w:rsidR="0010538B" w:rsidRPr="00654EA7" w:rsidRDefault="0010538B" w:rsidP="0010538B">
      <w:pPr>
        <w:spacing w:after="60" w:line="240" w:lineRule="auto"/>
        <w:ind w:left="360"/>
        <w:jc w:val="both"/>
        <w:rPr>
          <w:lang w:eastAsia="en-US"/>
        </w:rPr>
      </w:pPr>
      <w:r w:rsidRPr="00654EA7">
        <w:rPr>
          <w:lang w:eastAsia="en-US"/>
        </w:rPr>
        <w:t>Zhotovitel se zavazuje dodržovat bezpečnostní požadavky i při předání a převzetí plnění dle této Smlouvy.</w:t>
      </w:r>
    </w:p>
    <w:p w14:paraId="063D7BAC" w14:textId="77777777" w:rsidR="0010538B" w:rsidRPr="00654EA7" w:rsidRDefault="0010538B" w:rsidP="0010538B">
      <w:pPr>
        <w:spacing w:after="6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FBE2848" w14:textId="77777777" w:rsidR="0010538B" w:rsidRPr="00654EA7" w:rsidRDefault="0010538B" w:rsidP="0010538B">
      <w:pPr>
        <w:pStyle w:val="Odstavecseseznamem"/>
        <w:numPr>
          <w:ilvl w:val="0"/>
          <w:numId w:val="39"/>
        </w:numPr>
        <w:spacing w:before="0" w:line="240" w:lineRule="auto"/>
        <w:contextualSpacing w:val="0"/>
        <w:rPr>
          <w:b/>
          <w:bCs/>
          <w:lang w:eastAsia="en-US"/>
        </w:rPr>
      </w:pPr>
      <w:bookmarkStart w:id="96" w:name="_Toc532824915"/>
      <w:r w:rsidRPr="00654EA7">
        <w:rPr>
          <w:b/>
          <w:bCs/>
          <w:lang w:eastAsia="en-US"/>
        </w:rPr>
        <w:t>Likvidace dat</w:t>
      </w:r>
      <w:bookmarkEnd w:id="96"/>
    </w:p>
    <w:p w14:paraId="3D1C5834" w14:textId="77777777" w:rsidR="0010538B" w:rsidRPr="00654EA7" w:rsidRDefault="0010538B" w:rsidP="0010538B">
      <w:pPr>
        <w:spacing w:after="60" w:line="240" w:lineRule="auto"/>
        <w:ind w:left="360"/>
        <w:jc w:val="both"/>
        <w:rPr>
          <w:lang w:eastAsia="en-US"/>
        </w:rPr>
      </w:pPr>
      <w:r w:rsidRPr="00654EA7">
        <w:rPr>
          <w:lang w:eastAsia="en-US"/>
        </w:rPr>
        <w:lastRenderedPageBreak/>
        <w:t>Zhotovitel se zavazuje plnit požadavky Objednatele v oblasti likvidace dat (ať už dat na papírových médiích, dat zpracovávaných elektronicky nebo prostřednictvím jakýchkoli dalších nosičů dat).</w:t>
      </w:r>
    </w:p>
    <w:p w14:paraId="03709B16" w14:textId="77777777" w:rsidR="0010538B" w:rsidRDefault="0010538B" w:rsidP="0010538B">
      <w:pPr>
        <w:spacing w:after="60" w:line="240" w:lineRule="auto"/>
        <w:rPr>
          <w:rFonts w:eastAsiaTheme="majorEastAsia" w:cstheme="majorBidi"/>
          <w:b/>
          <w:bCs/>
          <w:sz w:val="28"/>
          <w:highlight w:val="magenta"/>
          <w:lang w:eastAsia="en-US"/>
        </w:rPr>
      </w:pPr>
    </w:p>
    <w:p w14:paraId="11FA4674" w14:textId="77777777" w:rsidR="0010538B" w:rsidRDefault="0010538B" w:rsidP="0010538B">
      <w:pPr>
        <w:spacing w:after="60" w:line="240" w:lineRule="auto"/>
        <w:rPr>
          <w:rFonts w:eastAsiaTheme="majorEastAsia" w:cstheme="majorBidi"/>
          <w:b/>
          <w:bCs/>
          <w:sz w:val="28"/>
          <w:lang w:eastAsia="en-US"/>
        </w:rPr>
      </w:pPr>
    </w:p>
    <w:p w14:paraId="4057340F" w14:textId="248B6AE2" w:rsidR="00747F9B" w:rsidRDefault="00747F9B" w:rsidP="0010538B">
      <w:pPr>
        <w:pStyle w:val="Nadpis1"/>
        <w:keepNext w:val="0"/>
        <w:tabs>
          <w:tab w:val="left" w:pos="0"/>
        </w:tabs>
        <w:spacing w:before="0" w:after="60" w:line="240" w:lineRule="auto"/>
        <w:jc w:val="both"/>
        <w:rPr>
          <w:b w:val="0"/>
          <w:bCs w:val="0"/>
          <w:highlight w:val="magenta"/>
        </w:rPr>
      </w:pPr>
    </w:p>
    <w:sectPr w:rsidR="00747F9B" w:rsidSect="00CB3EEB">
      <w:headerReference w:type="default" r:id="rId10"/>
      <w:footerReference w:type="default" r:id="rId11"/>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919D1" w14:textId="77777777" w:rsidR="00CC7958" w:rsidRDefault="00CC7958" w:rsidP="00401355">
      <w:pPr>
        <w:spacing w:after="0" w:line="240" w:lineRule="auto"/>
      </w:pPr>
      <w:r>
        <w:separator/>
      </w:r>
    </w:p>
  </w:endnote>
  <w:endnote w:type="continuationSeparator" w:id="0">
    <w:p w14:paraId="41A8A7A8" w14:textId="77777777" w:rsidR="00CC7958" w:rsidRDefault="00CC7958"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947BC" w14:textId="77777777" w:rsidR="00CC7958" w:rsidRDefault="00CC7958" w:rsidP="00401355">
      <w:pPr>
        <w:spacing w:after="0" w:line="240" w:lineRule="auto"/>
      </w:pPr>
      <w:r>
        <w:separator/>
      </w:r>
    </w:p>
  </w:footnote>
  <w:footnote w:type="continuationSeparator" w:id="0">
    <w:p w14:paraId="4E95A797" w14:textId="77777777" w:rsidR="00CC7958" w:rsidRDefault="00CC7958"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7ADF7A63">
          <wp:simplePos x="0" y="0"/>
          <wp:positionH relativeFrom="margin">
            <wp:posOffset>3897520</wp:posOffset>
          </wp:positionH>
          <wp:positionV relativeFrom="paragraph">
            <wp:posOffset>-256623</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5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9"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45E15D2"/>
    <w:multiLevelType w:val="hybridMultilevel"/>
    <w:tmpl w:val="320EB8DC"/>
    <w:lvl w:ilvl="0" w:tplc="FFFFFFFF">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7"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6108EA"/>
    <w:multiLevelType w:val="hybridMultilevel"/>
    <w:tmpl w:val="7E04C470"/>
    <w:lvl w:ilvl="0" w:tplc="FFFFFFFF">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0"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7AC40822"/>
    <w:multiLevelType w:val="hybridMultilevel"/>
    <w:tmpl w:val="25A8E516"/>
    <w:lvl w:ilvl="0" w:tplc="32DA56FA">
      <w:start w:val="1"/>
      <w:numFmt w:val="bullet"/>
      <w:lvlText w:val=""/>
      <w:lvlJc w:val="left"/>
      <w:pPr>
        <w:ind w:left="1428" w:hanging="360"/>
      </w:pPr>
      <w:rPr>
        <w:rFonts w:ascii="Symbol" w:hAnsi="Symbol" w:hint="default"/>
      </w:rPr>
    </w:lvl>
    <w:lvl w:ilvl="1" w:tplc="FFFFFFFF">
      <w:start w:val="1"/>
      <w:numFmt w:val="bullet"/>
      <w:lvlText w:val=""/>
      <w:lvlJc w:val="left"/>
      <w:pPr>
        <w:ind w:left="2148" w:hanging="360"/>
      </w:pPr>
      <w:rPr>
        <w:rFonts w:ascii="Symbol" w:hAnsi="Symbol"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4"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7"/>
  </w:num>
  <w:num w:numId="4" w16cid:durableId="485319005">
    <w:abstractNumId w:val="32"/>
  </w:num>
  <w:num w:numId="5" w16cid:durableId="1199708021">
    <w:abstractNumId w:val="30"/>
  </w:num>
  <w:num w:numId="6" w16cid:durableId="1053426158">
    <w:abstractNumId w:val="5"/>
  </w:num>
  <w:num w:numId="7" w16cid:durableId="1094352691">
    <w:abstractNumId w:val="33"/>
  </w:num>
  <w:num w:numId="8" w16cid:durableId="1100642460">
    <w:abstractNumId w:val="17"/>
  </w:num>
  <w:num w:numId="9" w16cid:durableId="1337612748">
    <w:abstractNumId w:val="12"/>
  </w:num>
  <w:num w:numId="10" w16cid:durableId="1725057349">
    <w:abstractNumId w:val="6"/>
  </w:num>
  <w:num w:numId="11" w16cid:durableId="2025203162">
    <w:abstractNumId w:val="16"/>
  </w:num>
  <w:num w:numId="12" w16cid:durableId="1907254163">
    <w:abstractNumId w:val="15"/>
  </w:num>
  <w:num w:numId="13" w16cid:durableId="711996689">
    <w:abstractNumId w:val="31"/>
  </w:num>
  <w:num w:numId="14" w16cid:durableId="55132505">
    <w:abstractNumId w:val="20"/>
  </w:num>
  <w:num w:numId="15" w16cid:durableId="1133206705">
    <w:abstractNumId w:val="14"/>
  </w:num>
  <w:num w:numId="16" w16cid:durableId="1561287725">
    <w:abstractNumId w:val="13"/>
  </w:num>
  <w:num w:numId="17" w16cid:durableId="1083145801">
    <w:abstractNumId w:val="23"/>
  </w:num>
  <w:num w:numId="18" w16cid:durableId="782577175">
    <w:abstractNumId w:val="21"/>
  </w:num>
  <w:num w:numId="19" w16cid:durableId="298221084">
    <w:abstractNumId w:val="38"/>
  </w:num>
  <w:num w:numId="20" w16cid:durableId="853154156">
    <w:abstractNumId w:val="22"/>
  </w:num>
  <w:num w:numId="21" w16cid:durableId="178592309">
    <w:abstractNumId w:val="19"/>
  </w:num>
  <w:num w:numId="22" w16cid:durableId="1114637484">
    <w:abstractNumId w:val="4"/>
  </w:num>
  <w:num w:numId="23" w16cid:durableId="1376392735">
    <w:abstractNumId w:val="40"/>
  </w:num>
  <w:num w:numId="24" w16cid:durableId="1747217470">
    <w:abstractNumId w:val="8"/>
  </w:num>
  <w:num w:numId="25" w16cid:durableId="279647755">
    <w:abstractNumId w:val="41"/>
  </w:num>
  <w:num w:numId="26" w16cid:durableId="1351301918">
    <w:abstractNumId w:val="11"/>
  </w:num>
  <w:num w:numId="27" w16cid:durableId="1511217710">
    <w:abstractNumId w:val="7"/>
  </w:num>
  <w:num w:numId="28" w16cid:durableId="1594513150">
    <w:abstractNumId w:val="10"/>
  </w:num>
  <w:num w:numId="29" w16cid:durableId="1966304813">
    <w:abstractNumId w:val="26"/>
  </w:num>
  <w:num w:numId="30" w16cid:durableId="1234001826">
    <w:abstractNumId w:val="44"/>
  </w:num>
  <w:num w:numId="31" w16cid:durableId="1942836496">
    <w:abstractNumId w:val="27"/>
  </w:num>
  <w:num w:numId="32" w16cid:durableId="68889022">
    <w:abstractNumId w:val="42"/>
  </w:num>
  <w:num w:numId="33" w16cid:durableId="1983342756">
    <w:abstractNumId w:val="35"/>
  </w:num>
  <w:num w:numId="34" w16cid:durableId="1113935610">
    <w:abstractNumId w:val="39"/>
  </w:num>
  <w:num w:numId="35" w16cid:durableId="2097703432">
    <w:abstractNumId w:val="9"/>
  </w:num>
  <w:num w:numId="36" w16cid:durableId="1781029321">
    <w:abstractNumId w:val="1"/>
  </w:num>
  <w:num w:numId="37" w16cid:durableId="1073551388">
    <w:abstractNumId w:val="25"/>
  </w:num>
  <w:num w:numId="38" w16cid:durableId="1691375285">
    <w:abstractNumId w:val="0"/>
  </w:num>
  <w:num w:numId="39" w16cid:durableId="266353770">
    <w:abstractNumId w:val="34"/>
  </w:num>
  <w:num w:numId="40" w16cid:durableId="189268296">
    <w:abstractNumId w:val="28"/>
  </w:num>
  <w:num w:numId="41" w16cid:durableId="633683131">
    <w:abstractNumId w:val="18"/>
  </w:num>
  <w:num w:numId="42" w16cid:durableId="803542197">
    <w:abstractNumId w:val="36"/>
  </w:num>
  <w:num w:numId="43" w16cid:durableId="1463032833">
    <w:abstractNumId w:val="24"/>
  </w:num>
  <w:num w:numId="44" w16cid:durableId="738022220">
    <w:abstractNumId w:val="29"/>
  </w:num>
  <w:num w:numId="45" w16cid:durableId="1085301356">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318E"/>
    <w:rsid w:val="00035CDC"/>
    <w:rsid w:val="000370A3"/>
    <w:rsid w:val="00045BAA"/>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B741F"/>
    <w:rsid w:val="000C0DD0"/>
    <w:rsid w:val="000C2E1A"/>
    <w:rsid w:val="000C4A80"/>
    <w:rsid w:val="000C70B3"/>
    <w:rsid w:val="000C77CD"/>
    <w:rsid w:val="000D1C47"/>
    <w:rsid w:val="000D676F"/>
    <w:rsid w:val="000E103A"/>
    <w:rsid w:val="000E2621"/>
    <w:rsid w:val="000E3EEE"/>
    <w:rsid w:val="000E6888"/>
    <w:rsid w:val="000F7F26"/>
    <w:rsid w:val="00102616"/>
    <w:rsid w:val="0010538B"/>
    <w:rsid w:val="00105ADF"/>
    <w:rsid w:val="00106F37"/>
    <w:rsid w:val="00107A02"/>
    <w:rsid w:val="00110E47"/>
    <w:rsid w:val="001140FF"/>
    <w:rsid w:val="001158EE"/>
    <w:rsid w:val="00115A28"/>
    <w:rsid w:val="0012321B"/>
    <w:rsid w:val="001272B8"/>
    <w:rsid w:val="00135CF7"/>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380E"/>
    <w:rsid w:val="00245787"/>
    <w:rsid w:val="0024684A"/>
    <w:rsid w:val="0025293A"/>
    <w:rsid w:val="00254E11"/>
    <w:rsid w:val="0025678A"/>
    <w:rsid w:val="002623CF"/>
    <w:rsid w:val="00265C23"/>
    <w:rsid w:val="002669C6"/>
    <w:rsid w:val="00271949"/>
    <w:rsid w:val="00275747"/>
    <w:rsid w:val="002771D7"/>
    <w:rsid w:val="0028168F"/>
    <w:rsid w:val="00282A5F"/>
    <w:rsid w:val="00285BF6"/>
    <w:rsid w:val="002923D5"/>
    <w:rsid w:val="0029570A"/>
    <w:rsid w:val="002A2607"/>
    <w:rsid w:val="002A2D80"/>
    <w:rsid w:val="002B15DA"/>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3741"/>
    <w:rsid w:val="0035440D"/>
    <w:rsid w:val="003574CC"/>
    <w:rsid w:val="0036080A"/>
    <w:rsid w:val="003629CE"/>
    <w:rsid w:val="00364984"/>
    <w:rsid w:val="00370AE0"/>
    <w:rsid w:val="00372CD5"/>
    <w:rsid w:val="00377DE3"/>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17EA6"/>
    <w:rsid w:val="00420FB8"/>
    <w:rsid w:val="0042231E"/>
    <w:rsid w:val="00422C02"/>
    <w:rsid w:val="00425258"/>
    <w:rsid w:val="00426861"/>
    <w:rsid w:val="004328AE"/>
    <w:rsid w:val="004339B0"/>
    <w:rsid w:val="0043760B"/>
    <w:rsid w:val="004379C0"/>
    <w:rsid w:val="00441056"/>
    <w:rsid w:val="0044348F"/>
    <w:rsid w:val="00446CB2"/>
    <w:rsid w:val="00451159"/>
    <w:rsid w:val="00452F3C"/>
    <w:rsid w:val="004625BB"/>
    <w:rsid w:val="00466624"/>
    <w:rsid w:val="00467117"/>
    <w:rsid w:val="00472FE7"/>
    <w:rsid w:val="00480FF6"/>
    <w:rsid w:val="004821C6"/>
    <w:rsid w:val="00483BF7"/>
    <w:rsid w:val="00487E6A"/>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0A2F"/>
    <w:rsid w:val="004E483F"/>
    <w:rsid w:val="004E76A5"/>
    <w:rsid w:val="004F44BC"/>
    <w:rsid w:val="00502050"/>
    <w:rsid w:val="0050443E"/>
    <w:rsid w:val="005065E3"/>
    <w:rsid w:val="00507159"/>
    <w:rsid w:val="00507596"/>
    <w:rsid w:val="005108CE"/>
    <w:rsid w:val="00510A0C"/>
    <w:rsid w:val="00514AF9"/>
    <w:rsid w:val="00520139"/>
    <w:rsid w:val="00522D8C"/>
    <w:rsid w:val="00523C34"/>
    <w:rsid w:val="00527ADE"/>
    <w:rsid w:val="00532926"/>
    <w:rsid w:val="0053321D"/>
    <w:rsid w:val="00535A98"/>
    <w:rsid w:val="00535F9E"/>
    <w:rsid w:val="00536880"/>
    <w:rsid w:val="005414B8"/>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2FC1"/>
    <w:rsid w:val="0058593F"/>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D0F11"/>
    <w:rsid w:val="005D3202"/>
    <w:rsid w:val="005E0ECC"/>
    <w:rsid w:val="005E1C7C"/>
    <w:rsid w:val="005F3588"/>
    <w:rsid w:val="00605F50"/>
    <w:rsid w:val="00606388"/>
    <w:rsid w:val="00611E40"/>
    <w:rsid w:val="00613308"/>
    <w:rsid w:val="00613AE5"/>
    <w:rsid w:val="00616E4A"/>
    <w:rsid w:val="00626CA9"/>
    <w:rsid w:val="00633A78"/>
    <w:rsid w:val="00636FDC"/>
    <w:rsid w:val="00640A13"/>
    <w:rsid w:val="00641A01"/>
    <w:rsid w:val="00642711"/>
    <w:rsid w:val="00642729"/>
    <w:rsid w:val="00646339"/>
    <w:rsid w:val="0064699E"/>
    <w:rsid w:val="00651661"/>
    <w:rsid w:val="00654EA7"/>
    <w:rsid w:val="006577F1"/>
    <w:rsid w:val="00657EB4"/>
    <w:rsid w:val="00660737"/>
    <w:rsid w:val="00664D9C"/>
    <w:rsid w:val="00666930"/>
    <w:rsid w:val="00671D96"/>
    <w:rsid w:val="00672363"/>
    <w:rsid w:val="0067560F"/>
    <w:rsid w:val="0067795F"/>
    <w:rsid w:val="006823D3"/>
    <w:rsid w:val="00683922"/>
    <w:rsid w:val="006869C6"/>
    <w:rsid w:val="00690884"/>
    <w:rsid w:val="00694EA3"/>
    <w:rsid w:val="00695AA6"/>
    <w:rsid w:val="0069694E"/>
    <w:rsid w:val="00696BC8"/>
    <w:rsid w:val="006A0C86"/>
    <w:rsid w:val="006A3906"/>
    <w:rsid w:val="006A4306"/>
    <w:rsid w:val="006A74A6"/>
    <w:rsid w:val="006C0D3A"/>
    <w:rsid w:val="006C1952"/>
    <w:rsid w:val="006C1D85"/>
    <w:rsid w:val="006C420E"/>
    <w:rsid w:val="006C6B36"/>
    <w:rsid w:val="006C6BD0"/>
    <w:rsid w:val="006D3B74"/>
    <w:rsid w:val="006D3F88"/>
    <w:rsid w:val="006D71D3"/>
    <w:rsid w:val="006E032E"/>
    <w:rsid w:val="006E105E"/>
    <w:rsid w:val="006E2864"/>
    <w:rsid w:val="006E62B1"/>
    <w:rsid w:val="006E74C8"/>
    <w:rsid w:val="006F01B5"/>
    <w:rsid w:val="006F64B7"/>
    <w:rsid w:val="006F7260"/>
    <w:rsid w:val="0070211D"/>
    <w:rsid w:val="00702DCC"/>
    <w:rsid w:val="007109B7"/>
    <w:rsid w:val="00713055"/>
    <w:rsid w:val="00716028"/>
    <w:rsid w:val="00716225"/>
    <w:rsid w:val="007217E7"/>
    <w:rsid w:val="0072208F"/>
    <w:rsid w:val="007223DD"/>
    <w:rsid w:val="00725D19"/>
    <w:rsid w:val="00732482"/>
    <w:rsid w:val="00733EAF"/>
    <w:rsid w:val="00736BD1"/>
    <w:rsid w:val="00742F61"/>
    <w:rsid w:val="00743B30"/>
    <w:rsid w:val="00743F27"/>
    <w:rsid w:val="00745F78"/>
    <w:rsid w:val="00746433"/>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84309"/>
    <w:rsid w:val="007928A5"/>
    <w:rsid w:val="00795742"/>
    <w:rsid w:val="00796B6F"/>
    <w:rsid w:val="007A0C5D"/>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437D"/>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77F5D"/>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01E"/>
    <w:rsid w:val="008D62B5"/>
    <w:rsid w:val="008D7877"/>
    <w:rsid w:val="008E0694"/>
    <w:rsid w:val="008E4920"/>
    <w:rsid w:val="008F4607"/>
    <w:rsid w:val="008F4DD9"/>
    <w:rsid w:val="008F505A"/>
    <w:rsid w:val="008F5857"/>
    <w:rsid w:val="008F5B02"/>
    <w:rsid w:val="009000C6"/>
    <w:rsid w:val="00900656"/>
    <w:rsid w:val="00900D1A"/>
    <w:rsid w:val="00901631"/>
    <w:rsid w:val="00904800"/>
    <w:rsid w:val="00904AAB"/>
    <w:rsid w:val="009069C2"/>
    <w:rsid w:val="00906E1F"/>
    <w:rsid w:val="00910164"/>
    <w:rsid w:val="009126D1"/>
    <w:rsid w:val="009138A4"/>
    <w:rsid w:val="00916A73"/>
    <w:rsid w:val="00922DE7"/>
    <w:rsid w:val="009260FE"/>
    <w:rsid w:val="009264A9"/>
    <w:rsid w:val="009269D1"/>
    <w:rsid w:val="00927B9E"/>
    <w:rsid w:val="009305D5"/>
    <w:rsid w:val="00931DFE"/>
    <w:rsid w:val="00933C3E"/>
    <w:rsid w:val="00935652"/>
    <w:rsid w:val="00936B4B"/>
    <w:rsid w:val="00937683"/>
    <w:rsid w:val="00937B69"/>
    <w:rsid w:val="00937F9B"/>
    <w:rsid w:val="00940C53"/>
    <w:rsid w:val="00941233"/>
    <w:rsid w:val="00943E2F"/>
    <w:rsid w:val="009461FC"/>
    <w:rsid w:val="009504CE"/>
    <w:rsid w:val="00956CC3"/>
    <w:rsid w:val="009572E7"/>
    <w:rsid w:val="00957F22"/>
    <w:rsid w:val="00961652"/>
    <w:rsid w:val="009651BA"/>
    <w:rsid w:val="00980A0C"/>
    <w:rsid w:val="009866DC"/>
    <w:rsid w:val="009A2ADF"/>
    <w:rsid w:val="009A31DE"/>
    <w:rsid w:val="009A5E76"/>
    <w:rsid w:val="009B2FE8"/>
    <w:rsid w:val="009B634D"/>
    <w:rsid w:val="009C088C"/>
    <w:rsid w:val="009C19C2"/>
    <w:rsid w:val="009E32ED"/>
    <w:rsid w:val="009E3B75"/>
    <w:rsid w:val="009E592C"/>
    <w:rsid w:val="009E6F35"/>
    <w:rsid w:val="009E7AA3"/>
    <w:rsid w:val="009F2373"/>
    <w:rsid w:val="009F4A51"/>
    <w:rsid w:val="009F5010"/>
    <w:rsid w:val="00A0209D"/>
    <w:rsid w:val="00A07D20"/>
    <w:rsid w:val="00A12A6A"/>
    <w:rsid w:val="00A20782"/>
    <w:rsid w:val="00A20CED"/>
    <w:rsid w:val="00A23200"/>
    <w:rsid w:val="00A23402"/>
    <w:rsid w:val="00A35148"/>
    <w:rsid w:val="00A355BA"/>
    <w:rsid w:val="00A366D5"/>
    <w:rsid w:val="00A401C0"/>
    <w:rsid w:val="00A404B6"/>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9301D"/>
    <w:rsid w:val="00AA2DB0"/>
    <w:rsid w:val="00AA5E80"/>
    <w:rsid w:val="00AA7B64"/>
    <w:rsid w:val="00AB0356"/>
    <w:rsid w:val="00AB134D"/>
    <w:rsid w:val="00AB1BE2"/>
    <w:rsid w:val="00AB436B"/>
    <w:rsid w:val="00AB69A6"/>
    <w:rsid w:val="00AC589A"/>
    <w:rsid w:val="00AD37FD"/>
    <w:rsid w:val="00AD5D0B"/>
    <w:rsid w:val="00AE087E"/>
    <w:rsid w:val="00AE57E9"/>
    <w:rsid w:val="00AE7AB9"/>
    <w:rsid w:val="00AF52F0"/>
    <w:rsid w:val="00AF6E31"/>
    <w:rsid w:val="00B0084F"/>
    <w:rsid w:val="00B01F17"/>
    <w:rsid w:val="00B04407"/>
    <w:rsid w:val="00B0493C"/>
    <w:rsid w:val="00B04FFD"/>
    <w:rsid w:val="00B067C8"/>
    <w:rsid w:val="00B168CD"/>
    <w:rsid w:val="00B16E59"/>
    <w:rsid w:val="00B24F5F"/>
    <w:rsid w:val="00B26594"/>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56F0"/>
    <w:rsid w:val="00BA7968"/>
    <w:rsid w:val="00BB18EA"/>
    <w:rsid w:val="00BB2182"/>
    <w:rsid w:val="00BC0384"/>
    <w:rsid w:val="00BC043B"/>
    <w:rsid w:val="00BC0CBB"/>
    <w:rsid w:val="00BC2687"/>
    <w:rsid w:val="00BC357A"/>
    <w:rsid w:val="00BC47EA"/>
    <w:rsid w:val="00BC7B67"/>
    <w:rsid w:val="00BD024B"/>
    <w:rsid w:val="00BD130D"/>
    <w:rsid w:val="00BE0E13"/>
    <w:rsid w:val="00BE12E8"/>
    <w:rsid w:val="00BE290D"/>
    <w:rsid w:val="00BE5576"/>
    <w:rsid w:val="00BE5B0E"/>
    <w:rsid w:val="00BF4B1E"/>
    <w:rsid w:val="00C06770"/>
    <w:rsid w:val="00C07FB7"/>
    <w:rsid w:val="00C2120B"/>
    <w:rsid w:val="00C21AD4"/>
    <w:rsid w:val="00C231CB"/>
    <w:rsid w:val="00C23E7D"/>
    <w:rsid w:val="00C23FC2"/>
    <w:rsid w:val="00C242C4"/>
    <w:rsid w:val="00C26BC9"/>
    <w:rsid w:val="00C30C00"/>
    <w:rsid w:val="00C33B4F"/>
    <w:rsid w:val="00C4281A"/>
    <w:rsid w:val="00C44165"/>
    <w:rsid w:val="00C5103B"/>
    <w:rsid w:val="00C5230D"/>
    <w:rsid w:val="00C52509"/>
    <w:rsid w:val="00C535CF"/>
    <w:rsid w:val="00C57A36"/>
    <w:rsid w:val="00C64EE3"/>
    <w:rsid w:val="00C67452"/>
    <w:rsid w:val="00C71F81"/>
    <w:rsid w:val="00C76090"/>
    <w:rsid w:val="00C872D2"/>
    <w:rsid w:val="00C87CD4"/>
    <w:rsid w:val="00C925C4"/>
    <w:rsid w:val="00C93B7D"/>
    <w:rsid w:val="00C9770F"/>
    <w:rsid w:val="00CA0F88"/>
    <w:rsid w:val="00CA73EB"/>
    <w:rsid w:val="00CB015E"/>
    <w:rsid w:val="00CB3D0B"/>
    <w:rsid w:val="00CB3EEB"/>
    <w:rsid w:val="00CC5297"/>
    <w:rsid w:val="00CC7553"/>
    <w:rsid w:val="00CC7958"/>
    <w:rsid w:val="00CD3938"/>
    <w:rsid w:val="00CD44A1"/>
    <w:rsid w:val="00CD5B58"/>
    <w:rsid w:val="00CD6A5A"/>
    <w:rsid w:val="00CE1A0E"/>
    <w:rsid w:val="00CE3539"/>
    <w:rsid w:val="00CE6540"/>
    <w:rsid w:val="00CE7347"/>
    <w:rsid w:val="00CF2E23"/>
    <w:rsid w:val="00CF2FCA"/>
    <w:rsid w:val="00CF3F9F"/>
    <w:rsid w:val="00CF546E"/>
    <w:rsid w:val="00D04AD0"/>
    <w:rsid w:val="00D04F7D"/>
    <w:rsid w:val="00D06F09"/>
    <w:rsid w:val="00D0706F"/>
    <w:rsid w:val="00D10CB3"/>
    <w:rsid w:val="00D12166"/>
    <w:rsid w:val="00D15E19"/>
    <w:rsid w:val="00D16146"/>
    <w:rsid w:val="00D229D9"/>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0E1"/>
    <w:rsid w:val="00D96732"/>
    <w:rsid w:val="00D96AD6"/>
    <w:rsid w:val="00D97E59"/>
    <w:rsid w:val="00DA10B7"/>
    <w:rsid w:val="00DA1838"/>
    <w:rsid w:val="00DA2C5D"/>
    <w:rsid w:val="00DA405F"/>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7883"/>
    <w:rsid w:val="00E1334E"/>
    <w:rsid w:val="00E146E4"/>
    <w:rsid w:val="00E161FF"/>
    <w:rsid w:val="00E21406"/>
    <w:rsid w:val="00E256B3"/>
    <w:rsid w:val="00E332DB"/>
    <w:rsid w:val="00E33990"/>
    <w:rsid w:val="00E406CE"/>
    <w:rsid w:val="00E41E4B"/>
    <w:rsid w:val="00E432FF"/>
    <w:rsid w:val="00E45767"/>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84CCD"/>
    <w:rsid w:val="00E903F2"/>
    <w:rsid w:val="00E914D3"/>
    <w:rsid w:val="00EA0125"/>
    <w:rsid w:val="00EA22AE"/>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453"/>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62C7"/>
    <w:rsid w:val="00F8154D"/>
    <w:rsid w:val="00F81B41"/>
    <w:rsid w:val="00F86458"/>
    <w:rsid w:val="00F86B86"/>
    <w:rsid w:val="00F9482F"/>
    <w:rsid w:val="00F96E93"/>
    <w:rsid w:val="00F97BCF"/>
    <w:rsid w:val="00F97C15"/>
    <w:rsid w:val="00FA21BF"/>
    <w:rsid w:val="00FA313F"/>
    <w:rsid w:val="00FA4673"/>
    <w:rsid w:val="00FB1E02"/>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lp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antisek.berg@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3469E"/>
    <w:rsid w:val="001412F4"/>
    <w:rsid w:val="00166822"/>
    <w:rsid w:val="001D7268"/>
    <w:rsid w:val="0024380E"/>
    <w:rsid w:val="00306D77"/>
    <w:rsid w:val="003A4256"/>
    <w:rsid w:val="00417EA6"/>
    <w:rsid w:val="00430625"/>
    <w:rsid w:val="00487E6A"/>
    <w:rsid w:val="0049097B"/>
    <w:rsid w:val="0050443E"/>
    <w:rsid w:val="00507159"/>
    <w:rsid w:val="005154CE"/>
    <w:rsid w:val="005414B8"/>
    <w:rsid w:val="005740E3"/>
    <w:rsid w:val="005963D2"/>
    <w:rsid w:val="005D0F11"/>
    <w:rsid w:val="00626CA9"/>
    <w:rsid w:val="00631FF0"/>
    <w:rsid w:val="00642729"/>
    <w:rsid w:val="00657E73"/>
    <w:rsid w:val="00660E62"/>
    <w:rsid w:val="006E032E"/>
    <w:rsid w:val="00716028"/>
    <w:rsid w:val="00750138"/>
    <w:rsid w:val="007928A5"/>
    <w:rsid w:val="0079389A"/>
    <w:rsid w:val="007A2407"/>
    <w:rsid w:val="00877F5D"/>
    <w:rsid w:val="008B1696"/>
    <w:rsid w:val="008D601E"/>
    <w:rsid w:val="00935652"/>
    <w:rsid w:val="009870AD"/>
    <w:rsid w:val="00A404B6"/>
    <w:rsid w:val="00A502A8"/>
    <w:rsid w:val="00A52E03"/>
    <w:rsid w:val="00A923AD"/>
    <w:rsid w:val="00A9301D"/>
    <w:rsid w:val="00AB436B"/>
    <w:rsid w:val="00B73612"/>
    <w:rsid w:val="00BA56F0"/>
    <w:rsid w:val="00CE1919"/>
    <w:rsid w:val="00D01E76"/>
    <w:rsid w:val="00D45183"/>
    <w:rsid w:val="00DA2B8F"/>
    <w:rsid w:val="00DA2C5D"/>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26</Pages>
  <Words>8743</Words>
  <Characters>51589</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54</cp:revision>
  <cp:lastPrinted>2018-03-20T09:42:00Z</cp:lastPrinted>
  <dcterms:created xsi:type="dcterms:W3CDTF">2025-10-20T06:12:00Z</dcterms:created>
  <dcterms:modified xsi:type="dcterms:W3CDTF">2025-12-09T20:23:00Z</dcterms:modified>
</cp:coreProperties>
</file>